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0927C9" w:rsidRPr="000927C9" w14:paraId="046EA622" w14:textId="77777777" w:rsidTr="000927C9">
        <w:tc>
          <w:tcPr>
            <w:tcW w:w="7650" w:type="dxa"/>
          </w:tcPr>
          <w:p w14:paraId="2B600F90" w14:textId="3EF75A0F" w:rsidR="000927C9" w:rsidRPr="000927C9" w:rsidRDefault="00D4794B" w:rsidP="000927C9">
            <w:pPr>
              <w:spacing w:line="240" w:lineRule="auto"/>
              <w:rPr>
                <w:rFonts w:cs="Arial"/>
                <w:b/>
                <w:bCs/>
                <w:sz w:val="28"/>
                <w:szCs w:val="28"/>
                <w:u w:val="single"/>
              </w:rPr>
            </w:pPr>
            <w:r>
              <w:rPr>
                <w:rFonts w:cs="Arial"/>
                <w:b/>
                <w:bCs/>
                <w:sz w:val="28"/>
                <w:szCs w:val="28"/>
                <w:u w:val="single"/>
              </w:rPr>
              <w:t>Developers Contributions</w:t>
            </w:r>
          </w:p>
          <w:p w14:paraId="66373E53" w14:textId="77777777" w:rsidR="000927C9" w:rsidRPr="000927C9" w:rsidRDefault="000927C9">
            <w:pPr>
              <w:rPr>
                <w:b/>
                <w:bCs/>
                <w:sz w:val="28"/>
                <w:szCs w:val="28"/>
              </w:rPr>
            </w:pPr>
          </w:p>
        </w:tc>
        <w:tc>
          <w:tcPr>
            <w:tcW w:w="1978" w:type="dxa"/>
          </w:tcPr>
          <w:p w14:paraId="705EEB1D" w14:textId="7C4EEDC6" w:rsidR="000927C9" w:rsidRPr="000927C9" w:rsidRDefault="000927C9" w:rsidP="000927C9">
            <w:pPr>
              <w:jc w:val="right"/>
              <w:rPr>
                <w:b/>
                <w:bCs/>
                <w:sz w:val="28"/>
                <w:szCs w:val="28"/>
              </w:rPr>
            </w:pPr>
            <w:r w:rsidRPr="000927C9">
              <w:rPr>
                <w:b/>
                <w:bCs/>
                <w:sz w:val="28"/>
                <w:szCs w:val="28"/>
              </w:rPr>
              <w:t xml:space="preserve">Appendix </w:t>
            </w:r>
            <w:r w:rsidR="00FA240D">
              <w:rPr>
                <w:b/>
                <w:bCs/>
                <w:sz w:val="28"/>
                <w:szCs w:val="28"/>
              </w:rPr>
              <w:t>F</w:t>
            </w:r>
            <w:r w:rsidR="00D4794B">
              <w:rPr>
                <w:b/>
                <w:bCs/>
                <w:sz w:val="28"/>
                <w:szCs w:val="28"/>
              </w:rPr>
              <w:t>3</w:t>
            </w:r>
          </w:p>
        </w:tc>
      </w:tr>
    </w:tbl>
    <w:p w14:paraId="6DBC01A2" w14:textId="57E220EE" w:rsidR="00D4794B" w:rsidRDefault="00D4794B" w:rsidP="00B97006">
      <w:r>
        <w:t>The council receives Section 106 contributions from developers of housing sites throughout the borough.  Most of these contributions come with restrictions as to what they can be spent on.  The main categories are:</w:t>
      </w:r>
    </w:p>
    <w:p w14:paraId="76D325ED" w14:textId="7B04C833" w:rsidR="00D4794B" w:rsidRDefault="00D4794B" w:rsidP="00B97006">
      <w:pPr>
        <w:pStyle w:val="ListParagraph"/>
        <w:numPr>
          <w:ilvl w:val="0"/>
          <w:numId w:val="2"/>
        </w:numPr>
      </w:pPr>
      <w:r>
        <w:t>Affordable Housing</w:t>
      </w:r>
    </w:p>
    <w:p w14:paraId="018155BA" w14:textId="04417307" w:rsidR="00FA240D" w:rsidRDefault="00FA240D" w:rsidP="00B97006">
      <w:pPr>
        <w:pStyle w:val="ListParagraph"/>
        <w:numPr>
          <w:ilvl w:val="0"/>
          <w:numId w:val="2"/>
        </w:numPr>
      </w:pPr>
      <w:r>
        <w:t>Infrastructure</w:t>
      </w:r>
    </w:p>
    <w:p w14:paraId="779D45D3" w14:textId="36E78A79" w:rsidR="00D4794B" w:rsidRDefault="00D4794B" w:rsidP="00B97006">
      <w:pPr>
        <w:pStyle w:val="ListParagraph"/>
        <w:numPr>
          <w:ilvl w:val="0"/>
          <w:numId w:val="2"/>
        </w:numPr>
      </w:pPr>
      <w:r>
        <w:t>Public Open Space</w:t>
      </w:r>
      <w:r w:rsidR="004564FF">
        <w:t>, Sports and Recreation</w:t>
      </w:r>
    </w:p>
    <w:p w14:paraId="7C966138" w14:textId="7D000C20" w:rsidR="003861AF" w:rsidRDefault="003861AF" w:rsidP="00B97006">
      <w:pPr>
        <w:pStyle w:val="ListParagraph"/>
        <w:numPr>
          <w:ilvl w:val="0"/>
          <w:numId w:val="2"/>
        </w:numPr>
      </w:pPr>
      <w:r>
        <w:t>Town Centre Enhancements</w:t>
      </w:r>
    </w:p>
    <w:p w14:paraId="265E7812" w14:textId="324783C1" w:rsidR="004564FF" w:rsidRDefault="00D4794B" w:rsidP="00B97006">
      <w:pPr>
        <w:pStyle w:val="ListParagraph"/>
        <w:numPr>
          <w:ilvl w:val="0"/>
          <w:numId w:val="2"/>
        </w:numPr>
      </w:pPr>
      <w:r>
        <w:t>Transport</w:t>
      </w:r>
    </w:p>
    <w:p w14:paraId="5FD23A21" w14:textId="4F860926" w:rsidR="004564FF" w:rsidRDefault="004564FF" w:rsidP="00B97006"/>
    <w:p w14:paraId="6419C4F4" w14:textId="755ACAC3" w:rsidR="00E63F3B" w:rsidRDefault="00E63F3B" w:rsidP="00B97006">
      <w:r>
        <w:t xml:space="preserve">Contributions towards affordable housing are also referred to as ‘commuted </w:t>
      </w:r>
      <w:proofErr w:type="gramStart"/>
      <w:r>
        <w:t>sums’</w:t>
      </w:r>
      <w:proofErr w:type="gramEnd"/>
      <w:r>
        <w:t xml:space="preserve">.  They are paid by a developer when the size or scale of a development triggers a requirement for </w:t>
      </w:r>
      <w:r w:rsidR="00237744">
        <w:t xml:space="preserve">certain number of </w:t>
      </w:r>
      <w:r>
        <w:t xml:space="preserve">affordable housing </w:t>
      </w:r>
      <w:r w:rsidR="00237744">
        <w:t xml:space="preserve">units </w:t>
      </w:r>
      <w:r>
        <w:t xml:space="preserve">on </w:t>
      </w:r>
      <w:proofErr w:type="gramStart"/>
      <w:r>
        <w:t>site</w:t>
      </w:r>
      <w:proofErr w:type="gramEnd"/>
      <w:r>
        <w:t xml:space="preserve"> but the actual </w:t>
      </w:r>
      <w:r w:rsidR="00237744">
        <w:t>number</w:t>
      </w:r>
      <w:r>
        <w:t xml:space="preserve"> </w:t>
      </w:r>
      <w:r w:rsidR="00237744">
        <w:t xml:space="preserve">delivered </w:t>
      </w:r>
      <w:r>
        <w:t xml:space="preserve">is </w:t>
      </w:r>
      <w:r w:rsidR="00237744">
        <w:t>lower.  The council then uses the commuted sums to ensure affordable housing is delivered in alternative schemes either by the council itself as the developer or paying over to another developer.</w:t>
      </w:r>
    </w:p>
    <w:p w14:paraId="372189CF" w14:textId="77777777" w:rsidR="00B97006" w:rsidRDefault="00B97006" w:rsidP="00B97006"/>
    <w:p w14:paraId="321C6A34" w14:textId="4E5AACD1" w:rsidR="00D4794B" w:rsidRDefault="004564FF" w:rsidP="00B97006">
      <w:r>
        <w:t>For receipts in the ‘Transport’ category, the work is carried out by LCC</w:t>
      </w:r>
      <w:r w:rsidR="00B97006">
        <w:t>,</w:t>
      </w:r>
      <w:r>
        <w:t xml:space="preserve"> as the highways authority</w:t>
      </w:r>
      <w:r w:rsidR="00B97006">
        <w:t>,</w:t>
      </w:r>
      <w:r>
        <w:t xml:space="preserve"> and the receipt is paid over on completion.  The Council is reliant on LCC planning and delivering these projects.</w:t>
      </w:r>
    </w:p>
    <w:p w14:paraId="3FA32487" w14:textId="77777777" w:rsidR="00B97006" w:rsidRDefault="00B97006" w:rsidP="00B97006"/>
    <w:p w14:paraId="7C354F76" w14:textId="36EB8E72" w:rsidR="006235DD" w:rsidRDefault="00E63F3B" w:rsidP="00B97006">
      <w:r>
        <w:t>T</w:t>
      </w:r>
      <w:r w:rsidR="00D4794B">
        <w:t>able</w:t>
      </w:r>
      <w:r>
        <w:t xml:space="preserve"> 1</w:t>
      </w:r>
      <w:r w:rsidR="00DF438A">
        <w:t xml:space="preserve"> (below)</w:t>
      </w:r>
      <w:r w:rsidR="00D4794B">
        <w:t xml:space="preserve"> </w:t>
      </w:r>
      <w:r>
        <w:t>summarises</w:t>
      </w:r>
      <w:r w:rsidR="00D4794B">
        <w:t xml:space="preserve"> the forecasted use of Section 106</w:t>
      </w:r>
      <w:r w:rsidR="006235DD">
        <w:t xml:space="preserve"> in the current financial year</w:t>
      </w:r>
      <w:r w:rsidR="004564FF">
        <w:t xml:space="preserve"> 202</w:t>
      </w:r>
      <w:r w:rsidR="00FA240D">
        <w:t>1</w:t>
      </w:r>
      <w:r w:rsidR="004564FF">
        <w:t>/2</w:t>
      </w:r>
      <w:r w:rsidR="00FA240D">
        <w:t>2</w:t>
      </w:r>
      <w:r w:rsidR="004564FF">
        <w:t xml:space="preserve"> and across the next 3 financial years.</w:t>
      </w:r>
      <w:r w:rsidR="002163AF">
        <w:t xml:space="preserve">  </w:t>
      </w:r>
      <w:proofErr w:type="gramStart"/>
      <w:r w:rsidR="002163AF">
        <w:t>The vast majority of</w:t>
      </w:r>
      <w:proofErr w:type="gramEnd"/>
      <w:r w:rsidR="002163AF">
        <w:t xml:space="preserve"> the ‘use’ of the receipts relates to capital expenditure on schemes within the capital programme.  Occasionally there are minor amounts that are used for revenue expenditure.</w:t>
      </w:r>
      <w:r w:rsidR="004564FF">
        <w:t xml:space="preserve">  No new receipts have been assumed due to there being too much uncertainty about timing and potential values.</w:t>
      </w:r>
    </w:p>
    <w:p w14:paraId="381AFFB9" w14:textId="77777777" w:rsidR="00B97006" w:rsidRDefault="00B97006" w:rsidP="00B97006"/>
    <w:p w14:paraId="32C7358F" w14:textId="424025B9" w:rsidR="00EA6D23" w:rsidRDefault="00EA6D23" w:rsidP="00B97006">
      <w:r>
        <w:t xml:space="preserve">Table 2 </w:t>
      </w:r>
      <w:r w:rsidR="00DF438A">
        <w:t xml:space="preserve">(below) </w:t>
      </w:r>
      <w:r>
        <w:t>lists the schemes within the capital programme that are forecasted to utilise Section 106.</w:t>
      </w:r>
    </w:p>
    <w:p w14:paraId="5690B086" w14:textId="02B6606D" w:rsidR="006235DD" w:rsidRDefault="006235DD" w:rsidP="00B97006"/>
    <w:p w14:paraId="299DD778" w14:textId="77777777" w:rsidR="00DD57BC" w:rsidRDefault="00DD57BC" w:rsidP="00B97006"/>
    <w:p w14:paraId="044F9496" w14:textId="3757B195" w:rsidR="00EA6D23" w:rsidRPr="00EA6D23" w:rsidRDefault="00EA6D23" w:rsidP="00D4794B">
      <w:pPr>
        <w:spacing w:after="160" w:line="259" w:lineRule="auto"/>
        <w:rPr>
          <w:u w:val="single"/>
        </w:rPr>
      </w:pPr>
      <w:r w:rsidRPr="00EA6D23">
        <w:rPr>
          <w:u w:val="single"/>
        </w:rPr>
        <w:t>Community Infrastructure Levy (CIL)</w:t>
      </w:r>
    </w:p>
    <w:p w14:paraId="3FED772D" w14:textId="72354A20" w:rsidR="00EA6D23" w:rsidRDefault="00EA6D23" w:rsidP="00D4794B">
      <w:pPr>
        <w:spacing w:after="160" w:line="259" w:lineRule="auto"/>
      </w:pPr>
      <w:r>
        <w:t xml:space="preserve">The Council publishes an annual Infrastructure Funding Statement that outlines what projects CIL can be spent against.  There </w:t>
      </w:r>
      <w:r w:rsidR="00663FB1">
        <w:t>are two</w:t>
      </w:r>
      <w:r>
        <w:t xml:space="preserve"> scheme</w:t>
      </w:r>
      <w:r w:rsidR="00663FB1">
        <w:t>s</w:t>
      </w:r>
      <w:r>
        <w:t xml:space="preserve"> in the capital programme that is forecasted to use CIL –</w:t>
      </w:r>
      <w:r w:rsidR="00C71CF3">
        <w:t xml:space="preserve"> “</w:t>
      </w:r>
      <w:r w:rsidRPr="00EA6D23">
        <w:t>Green Link Penwortham Holme to Howick</w:t>
      </w:r>
      <w:r w:rsidR="00C71CF3">
        <w:t>” which has a total budget of £250,000</w:t>
      </w:r>
      <w:r w:rsidR="00663FB1">
        <w:t xml:space="preserve"> and “Worden Hall refurbishment” which has an allocation of £250,000 CIL funding</w:t>
      </w:r>
      <w:r w:rsidR="00C71CF3">
        <w:t>.</w:t>
      </w:r>
      <w:r w:rsidR="00F42CA4">
        <w:t xml:space="preserve">  </w:t>
      </w:r>
      <w:r w:rsidR="00631478">
        <w:t xml:space="preserve">Any CIL received in relation to sites within the </w:t>
      </w:r>
      <w:r w:rsidR="00631478" w:rsidRPr="005626DC">
        <w:t xml:space="preserve">City Deal </w:t>
      </w:r>
      <w:proofErr w:type="gramStart"/>
      <w:r w:rsidR="00631478" w:rsidRPr="005626DC">
        <w:t>are</w:t>
      </w:r>
      <w:proofErr w:type="gramEnd"/>
      <w:r w:rsidR="00631478" w:rsidRPr="005626DC">
        <w:t xml:space="preserve"> </w:t>
      </w:r>
      <w:r w:rsidR="00FA240D" w:rsidRPr="005626DC">
        <w:t xml:space="preserve">required </w:t>
      </w:r>
      <w:r w:rsidR="00631478" w:rsidRPr="005626DC">
        <w:t xml:space="preserve">to be paid over. </w:t>
      </w:r>
      <w:r w:rsidR="00F42CA4" w:rsidRPr="005626DC">
        <w:t xml:space="preserve"> The </w:t>
      </w:r>
      <w:r w:rsidR="00631478" w:rsidRPr="005626DC">
        <w:t>balance of CIL that has been received and not yet committed i</w:t>
      </w:r>
      <w:r w:rsidR="00FA240D" w:rsidRPr="005626DC">
        <w:t>s</w:t>
      </w:r>
      <w:r w:rsidR="00631478" w:rsidRPr="005626DC">
        <w:t xml:space="preserve"> £1.</w:t>
      </w:r>
      <w:r w:rsidR="005626DC" w:rsidRPr="005626DC">
        <w:t>32</w:t>
      </w:r>
      <w:r w:rsidR="00631478" w:rsidRPr="005626DC">
        <w:t>0m.</w:t>
      </w:r>
    </w:p>
    <w:p w14:paraId="6F39F8C1" w14:textId="414B826E" w:rsidR="00DF438A" w:rsidRDefault="00DF438A">
      <w:pPr>
        <w:spacing w:after="160" w:line="259" w:lineRule="auto"/>
        <w:jc w:val="left"/>
      </w:pPr>
      <w:r>
        <w:br w:type="page"/>
      </w:r>
    </w:p>
    <w:p w14:paraId="49FD897F" w14:textId="0E002A9E" w:rsidR="00E63F3B" w:rsidRDefault="00E63F3B" w:rsidP="00D4794B">
      <w:pPr>
        <w:spacing w:after="160" w:line="259" w:lineRule="auto"/>
        <w:rPr>
          <w:b/>
          <w:bCs/>
        </w:rPr>
      </w:pPr>
      <w:r w:rsidRPr="00E63F3B">
        <w:rPr>
          <w:b/>
          <w:bCs/>
        </w:rPr>
        <w:lastRenderedPageBreak/>
        <w:t>Table 1 – Summary of Section 106 Usage</w:t>
      </w:r>
    </w:p>
    <w:tbl>
      <w:tblPr>
        <w:tblW w:w="10040" w:type="dxa"/>
        <w:tblLook w:val="04A0" w:firstRow="1" w:lastRow="0" w:firstColumn="1" w:lastColumn="0" w:noHBand="0" w:noVBand="1"/>
      </w:tblPr>
      <w:tblGrid>
        <w:gridCol w:w="2600"/>
        <w:gridCol w:w="1240"/>
        <w:gridCol w:w="1240"/>
        <w:gridCol w:w="1240"/>
        <w:gridCol w:w="1240"/>
        <w:gridCol w:w="1240"/>
        <w:gridCol w:w="1240"/>
      </w:tblGrid>
      <w:tr w:rsidR="00A90637" w:rsidRPr="00A90637" w14:paraId="79250A47" w14:textId="77777777" w:rsidTr="00A90637">
        <w:trPr>
          <w:trHeight w:val="1200"/>
        </w:trPr>
        <w:tc>
          <w:tcPr>
            <w:tcW w:w="26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FDD2FDC" w14:textId="77777777" w:rsidR="00A90637" w:rsidRPr="00A90637" w:rsidRDefault="00A90637" w:rsidP="00A90637">
            <w:pPr>
              <w:spacing w:line="240" w:lineRule="auto"/>
              <w:jc w:val="left"/>
              <w:rPr>
                <w:rFonts w:ascii="Calibri" w:eastAsia="Times New Roman" w:hAnsi="Calibri" w:cs="Calibri"/>
                <w:color w:val="000000"/>
                <w:lang w:eastAsia="en-GB"/>
              </w:rPr>
            </w:pPr>
            <w:r w:rsidRPr="00A90637">
              <w:rPr>
                <w:rFonts w:ascii="Calibri" w:eastAsia="Times New Roman" w:hAnsi="Calibri" w:cs="Calibri"/>
                <w:color w:val="000000"/>
                <w:lang w:eastAsia="en-GB"/>
              </w:rPr>
              <w:t>Category</w:t>
            </w:r>
          </w:p>
        </w:tc>
        <w:tc>
          <w:tcPr>
            <w:tcW w:w="1240" w:type="dxa"/>
            <w:tcBorders>
              <w:top w:val="single" w:sz="4" w:space="0" w:color="auto"/>
              <w:left w:val="nil"/>
              <w:bottom w:val="single" w:sz="4" w:space="0" w:color="auto"/>
              <w:right w:val="single" w:sz="4" w:space="0" w:color="auto"/>
            </w:tcBorders>
            <w:shd w:val="clear" w:color="000000" w:fill="B8CCE4"/>
            <w:vAlign w:val="center"/>
            <w:hideMark/>
          </w:tcPr>
          <w:p w14:paraId="13820BCD" w14:textId="77777777" w:rsidR="00A90637" w:rsidRPr="00A90637" w:rsidRDefault="00A90637" w:rsidP="00A90637">
            <w:pPr>
              <w:spacing w:line="240" w:lineRule="auto"/>
              <w:jc w:val="center"/>
              <w:rPr>
                <w:rFonts w:ascii="Calibri" w:eastAsia="Times New Roman" w:hAnsi="Calibri" w:cs="Calibri"/>
                <w:color w:val="000000"/>
                <w:lang w:eastAsia="en-GB"/>
              </w:rPr>
            </w:pPr>
            <w:r w:rsidRPr="00A90637">
              <w:rPr>
                <w:rFonts w:ascii="Calibri" w:eastAsia="Times New Roman" w:hAnsi="Calibri" w:cs="Calibri"/>
                <w:color w:val="000000"/>
                <w:lang w:eastAsia="en-GB"/>
              </w:rPr>
              <w:t>Balance B/F 21/22</w:t>
            </w:r>
          </w:p>
        </w:tc>
        <w:tc>
          <w:tcPr>
            <w:tcW w:w="1240" w:type="dxa"/>
            <w:tcBorders>
              <w:top w:val="single" w:sz="4" w:space="0" w:color="auto"/>
              <w:left w:val="nil"/>
              <w:bottom w:val="single" w:sz="4" w:space="0" w:color="auto"/>
              <w:right w:val="single" w:sz="4" w:space="0" w:color="auto"/>
            </w:tcBorders>
            <w:shd w:val="clear" w:color="000000" w:fill="B8CCE4"/>
            <w:vAlign w:val="center"/>
            <w:hideMark/>
          </w:tcPr>
          <w:p w14:paraId="7F0B7B21" w14:textId="77777777" w:rsidR="00A90637" w:rsidRPr="00A90637" w:rsidRDefault="00A90637" w:rsidP="00A90637">
            <w:pPr>
              <w:spacing w:line="240" w:lineRule="auto"/>
              <w:jc w:val="center"/>
              <w:rPr>
                <w:rFonts w:ascii="Calibri" w:eastAsia="Times New Roman" w:hAnsi="Calibri" w:cs="Calibri"/>
                <w:color w:val="000000"/>
                <w:lang w:eastAsia="en-GB"/>
              </w:rPr>
            </w:pPr>
            <w:r w:rsidRPr="00A90637">
              <w:rPr>
                <w:rFonts w:ascii="Calibri" w:eastAsia="Times New Roman" w:hAnsi="Calibri" w:cs="Calibri"/>
                <w:color w:val="000000"/>
                <w:lang w:eastAsia="en-GB"/>
              </w:rPr>
              <w:t>Received 21/22</w:t>
            </w:r>
          </w:p>
        </w:tc>
        <w:tc>
          <w:tcPr>
            <w:tcW w:w="1240" w:type="dxa"/>
            <w:tcBorders>
              <w:top w:val="single" w:sz="4" w:space="0" w:color="auto"/>
              <w:left w:val="nil"/>
              <w:bottom w:val="single" w:sz="4" w:space="0" w:color="auto"/>
              <w:right w:val="single" w:sz="4" w:space="0" w:color="auto"/>
            </w:tcBorders>
            <w:shd w:val="clear" w:color="000000" w:fill="B8CCE4"/>
            <w:vAlign w:val="center"/>
            <w:hideMark/>
          </w:tcPr>
          <w:p w14:paraId="767FA203" w14:textId="77777777" w:rsidR="00A90637" w:rsidRPr="00A90637" w:rsidRDefault="00A90637" w:rsidP="00A90637">
            <w:pPr>
              <w:spacing w:line="240" w:lineRule="auto"/>
              <w:jc w:val="center"/>
              <w:rPr>
                <w:rFonts w:ascii="Calibri" w:eastAsia="Times New Roman" w:hAnsi="Calibri" w:cs="Calibri"/>
                <w:color w:val="000000"/>
                <w:lang w:eastAsia="en-GB"/>
              </w:rPr>
            </w:pPr>
            <w:r w:rsidRPr="00A90637">
              <w:rPr>
                <w:rFonts w:ascii="Calibri" w:eastAsia="Times New Roman" w:hAnsi="Calibri" w:cs="Calibri"/>
                <w:color w:val="000000"/>
                <w:lang w:eastAsia="en-GB"/>
              </w:rPr>
              <w:t>Forecast Use 21/22</w:t>
            </w:r>
          </w:p>
        </w:tc>
        <w:tc>
          <w:tcPr>
            <w:tcW w:w="1240" w:type="dxa"/>
            <w:tcBorders>
              <w:top w:val="single" w:sz="4" w:space="0" w:color="auto"/>
              <w:left w:val="nil"/>
              <w:bottom w:val="single" w:sz="4" w:space="0" w:color="auto"/>
              <w:right w:val="single" w:sz="4" w:space="0" w:color="auto"/>
            </w:tcBorders>
            <w:shd w:val="clear" w:color="000000" w:fill="B8CCE4"/>
            <w:vAlign w:val="center"/>
            <w:hideMark/>
          </w:tcPr>
          <w:p w14:paraId="19774534" w14:textId="77777777" w:rsidR="00A90637" w:rsidRPr="00A90637" w:rsidRDefault="00A90637" w:rsidP="00A90637">
            <w:pPr>
              <w:spacing w:line="240" w:lineRule="auto"/>
              <w:jc w:val="center"/>
              <w:rPr>
                <w:rFonts w:ascii="Calibri" w:eastAsia="Times New Roman" w:hAnsi="Calibri" w:cs="Calibri"/>
                <w:color w:val="000000"/>
                <w:lang w:eastAsia="en-GB"/>
              </w:rPr>
            </w:pPr>
            <w:r w:rsidRPr="00A90637">
              <w:rPr>
                <w:rFonts w:ascii="Calibri" w:eastAsia="Times New Roman" w:hAnsi="Calibri" w:cs="Calibri"/>
                <w:color w:val="000000"/>
                <w:lang w:eastAsia="en-GB"/>
              </w:rPr>
              <w:t>Balance C/F 21/22</w:t>
            </w:r>
          </w:p>
        </w:tc>
        <w:tc>
          <w:tcPr>
            <w:tcW w:w="1240" w:type="dxa"/>
            <w:tcBorders>
              <w:top w:val="single" w:sz="4" w:space="0" w:color="auto"/>
              <w:left w:val="nil"/>
              <w:bottom w:val="single" w:sz="4" w:space="0" w:color="auto"/>
              <w:right w:val="single" w:sz="4" w:space="0" w:color="auto"/>
            </w:tcBorders>
            <w:shd w:val="clear" w:color="000000" w:fill="B8CCE4"/>
            <w:vAlign w:val="center"/>
            <w:hideMark/>
          </w:tcPr>
          <w:p w14:paraId="04D3CF72" w14:textId="77777777" w:rsidR="00A90637" w:rsidRPr="00A90637" w:rsidRDefault="00A90637" w:rsidP="00A90637">
            <w:pPr>
              <w:spacing w:line="240" w:lineRule="auto"/>
              <w:jc w:val="center"/>
              <w:rPr>
                <w:rFonts w:ascii="Calibri" w:eastAsia="Times New Roman" w:hAnsi="Calibri" w:cs="Calibri"/>
                <w:color w:val="000000"/>
                <w:lang w:eastAsia="en-GB"/>
              </w:rPr>
            </w:pPr>
            <w:r w:rsidRPr="00A90637">
              <w:rPr>
                <w:rFonts w:ascii="Calibri" w:eastAsia="Times New Roman" w:hAnsi="Calibri" w:cs="Calibri"/>
                <w:color w:val="000000"/>
                <w:lang w:eastAsia="en-GB"/>
              </w:rPr>
              <w:t>Forecast Use Future Years</w:t>
            </w:r>
          </w:p>
        </w:tc>
        <w:tc>
          <w:tcPr>
            <w:tcW w:w="1240" w:type="dxa"/>
            <w:tcBorders>
              <w:top w:val="single" w:sz="4" w:space="0" w:color="auto"/>
              <w:left w:val="nil"/>
              <w:bottom w:val="single" w:sz="4" w:space="0" w:color="auto"/>
              <w:right w:val="single" w:sz="4" w:space="0" w:color="auto"/>
            </w:tcBorders>
            <w:shd w:val="clear" w:color="000000" w:fill="B8CCE4"/>
            <w:vAlign w:val="center"/>
            <w:hideMark/>
          </w:tcPr>
          <w:p w14:paraId="4CC9EA0E" w14:textId="77777777" w:rsidR="00A90637" w:rsidRPr="00A90637" w:rsidRDefault="00A90637" w:rsidP="00A90637">
            <w:pPr>
              <w:spacing w:line="240" w:lineRule="auto"/>
              <w:jc w:val="center"/>
              <w:rPr>
                <w:rFonts w:ascii="Calibri" w:eastAsia="Times New Roman" w:hAnsi="Calibri" w:cs="Calibri"/>
                <w:color w:val="000000"/>
                <w:lang w:eastAsia="en-GB"/>
              </w:rPr>
            </w:pPr>
            <w:r w:rsidRPr="00A90637">
              <w:rPr>
                <w:rFonts w:ascii="Calibri" w:eastAsia="Times New Roman" w:hAnsi="Calibri" w:cs="Calibri"/>
                <w:color w:val="000000"/>
                <w:lang w:eastAsia="en-GB"/>
              </w:rPr>
              <w:t>Balance Not Allocated</w:t>
            </w:r>
          </w:p>
        </w:tc>
      </w:tr>
      <w:tr w:rsidR="00A90637" w:rsidRPr="00A90637" w14:paraId="3EEA11DE" w14:textId="77777777" w:rsidTr="00A90637">
        <w:trPr>
          <w:trHeight w:val="375"/>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1D0834EA" w14:textId="77777777" w:rsidR="00A90637" w:rsidRPr="00A90637" w:rsidRDefault="00A90637" w:rsidP="00A90637">
            <w:pPr>
              <w:spacing w:line="240" w:lineRule="auto"/>
              <w:jc w:val="left"/>
              <w:rPr>
                <w:rFonts w:ascii="Calibri" w:eastAsia="Times New Roman" w:hAnsi="Calibri" w:cs="Calibri"/>
                <w:color w:val="000000"/>
                <w:lang w:eastAsia="en-GB"/>
              </w:rPr>
            </w:pPr>
            <w:r w:rsidRPr="00A90637">
              <w:rPr>
                <w:rFonts w:ascii="Calibri" w:eastAsia="Times New Roman" w:hAnsi="Calibri" w:cs="Calibri"/>
                <w:color w:val="000000"/>
                <w:lang w:eastAsia="en-GB"/>
              </w:rPr>
              <w:t>Affordable Housing</w:t>
            </w:r>
          </w:p>
        </w:tc>
        <w:tc>
          <w:tcPr>
            <w:tcW w:w="1240" w:type="dxa"/>
            <w:tcBorders>
              <w:top w:val="nil"/>
              <w:left w:val="nil"/>
              <w:bottom w:val="single" w:sz="4" w:space="0" w:color="auto"/>
              <w:right w:val="single" w:sz="4" w:space="0" w:color="auto"/>
            </w:tcBorders>
            <w:shd w:val="clear" w:color="auto" w:fill="auto"/>
            <w:noWrap/>
            <w:vAlign w:val="center"/>
            <w:hideMark/>
          </w:tcPr>
          <w:p w14:paraId="5EE2B6DE"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4,791 </w:t>
            </w:r>
          </w:p>
        </w:tc>
        <w:tc>
          <w:tcPr>
            <w:tcW w:w="1240" w:type="dxa"/>
            <w:tcBorders>
              <w:top w:val="nil"/>
              <w:left w:val="nil"/>
              <w:bottom w:val="single" w:sz="4" w:space="0" w:color="auto"/>
              <w:right w:val="single" w:sz="4" w:space="0" w:color="auto"/>
            </w:tcBorders>
            <w:shd w:val="clear" w:color="auto" w:fill="auto"/>
            <w:noWrap/>
            <w:vAlign w:val="center"/>
            <w:hideMark/>
          </w:tcPr>
          <w:p w14:paraId="3A8E55E4"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323 </w:t>
            </w:r>
          </w:p>
        </w:tc>
        <w:tc>
          <w:tcPr>
            <w:tcW w:w="1240" w:type="dxa"/>
            <w:tcBorders>
              <w:top w:val="nil"/>
              <w:left w:val="nil"/>
              <w:bottom w:val="single" w:sz="4" w:space="0" w:color="auto"/>
              <w:right w:val="single" w:sz="4" w:space="0" w:color="auto"/>
            </w:tcBorders>
            <w:shd w:val="clear" w:color="auto" w:fill="auto"/>
            <w:noWrap/>
            <w:vAlign w:val="center"/>
            <w:hideMark/>
          </w:tcPr>
          <w:p w14:paraId="0181CD3F"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(938)</w:t>
            </w:r>
          </w:p>
        </w:tc>
        <w:tc>
          <w:tcPr>
            <w:tcW w:w="1240" w:type="dxa"/>
            <w:tcBorders>
              <w:top w:val="nil"/>
              <w:left w:val="nil"/>
              <w:bottom w:val="single" w:sz="4" w:space="0" w:color="auto"/>
              <w:right w:val="single" w:sz="4" w:space="0" w:color="auto"/>
            </w:tcBorders>
            <w:shd w:val="clear" w:color="auto" w:fill="auto"/>
            <w:noWrap/>
            <w:vAlign w:val="center"/>
            <w:hideMark/>
          </w:tcPr>
          <w:p w14:paraId="6BAB8CF3"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4,176 </w:t>
            </w:r>
          </w:p>
        </w:tc>
        <w:tc>
          <w:tcPr>
            <w:tcW w:w="1240" w:type="dxa"/>
            <w:tcBorders>
              <w:top w:val="nil"/>
              <w:left w:val="nil"/>
              <w:bottom w:val="single" w:sz="4" w:space="0" w:color="auto"/>
              <w:right w:val="single" w:sz="4" w:space="0" w:color="auto"/>
            </w:tcBorders>
            <w:shd w:val="clear" w:color="auto" w:fill="auto"/>
            <w:noWrap/>
            <w:vAlign w:val="center"/>
            <w:hideMark/>
          </w:tcPr>
          <w:p w14:paraId="75E73973"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(3,639)</w:t>
            </w:r>
          </w:p>
        </w:tc>
        <w:tc>
          <w:tcPr>
            <w:tcW w:w="1240" w:type="dxa"/>
            <w:tcBorders>
              <w:top w:val="nil"/>
              <w:left w:val="nil"/>
              <w:bottom w:val="single" w:sz="4" w:space="0" w:color="auto"/>
              <w:right w:val="single" w:sz="4" w:space="0" w:color="auto"/>
            </w:tcBorders>
            <w:shd w:val="clear" w:color="auto" w:fill="auto"/>
            <w:noWrap/>
            <w:vAlign w:val="center"/>
            <w:hideMark/>
          </w:tcPr>
          <w:p w14:paraId="4293E5F7"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537 </w:t>
            </w:r>
          </w:p>
        </w:tc>
      </w:tr>
      <w:tr w:rsidR="00A90637" w:rsidRPr="00A90637" w14:paraId="189B46E3" w14:textId="77777777" w:rsidTr="00A90637">
        <w:trPr>
          <w:trHeight w:val="3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14:paraId="34BC4306" w14:textId="77777777" w:rsidR="00A90637" w:rsidRPr="00A90637" w:rsidRDefault="00A90637" w:rsidP="00A90637">
            <w:pPr>
              <w:spacing w:line="240" w:lineRule="auto"/>
              <w:jc w:val="left"/>
              <w:rPr>
                <w:rFonts w:ascii="Calibri" w:eastAsia="Times New Roman" w:hAnsi="Calibri" w:cs="Calibri"/>
                <w:color w:val="000000"/>
                <w:lang w:eastAsia="en-GB"/>
              </w:rPr>
            </w:pPr>
            <w:r w:rsidRPr="00A90637">
              <w:rPr>
                <w:rFonts w:ascii="Calibri" w:eastAsia="Times New Roman" w:hAnsi="Calibri" w:cs="Calibri"/>
                <w:color w:val="000000"/>
                <w:lang w:eastAsia="en-GB"/>
              </w:rPr>
              <w:t>Infrastructure</w:t>
            </w:r>
          </w:p>
        </w:tc>
        <w:tc>
          <w:tcPr>
            <w:tcW w:w="1240" w:type="dxa"/>
            <w:tcBorders>
              <w:top w:val="nil"/>
              <w:left w:val="nil"/>
              <w:bottom w:val="single" w:sz="4" w:space="0" w:color="auto"/>
              <w:right w:val="single" w:sz="4" w:space="0" w:color="auto"/>
            </w:tcBorders>
            <w:shd w:val="clear" w:color="auto" w:fill="auto"/>
            <w:noWrap/>
            <w:vAlign w:val="center"/>
            <w:hideMark/>
          </w:tcPr>
          <w:p w14:paraId="3563FAB2"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242 </w:t>
            </w:r>
          </w:p>
        </w:tc>
        <w:tc>
          <w:tcPr>
            <w:tcW w:w="1240" w:type="dxa"/>
            <w:tcBorders>
              <w:top w:val="nil"/>
              <w:left w:val="nil"/>
              <w:bottom w:val="single" w:sz="4" w:space="0" w:color="auto"/>
              <w:right w:val="single" w:sz="4" w:space="0" w:color="auto"/>
            </w:tcBorders>
            <w:shd w:val="clear" w:color="auto" w:fill="auto"/>
            <w:noWrap/>
            <w:vAlign w:val="center"/>
            <w:hideMark/>
          </w:tcPr>
          <w:p w14:paraId="57955D5F"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82BF622"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698E2A0D"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242 </w:t>
            </w:r>
          </w:p>
        </w:tc>
        <w:tc>
          <w:tcPr>
            <w:tcW w:w="1240" w:type="dxa"/>
            <w:tcBorders>
              <w:top w:val="nil"/>
              <w:left w:val="nil"/>
              <w:bottom w:val="single" w:sz="4" w:space="0" w:color="auto"/>
              <w:right w:val="single" w:sz="4" w:space="0" w:color="auto"/>
            </w:tcBorders>
            <w:shd w:val="clear" w:color="auto" w:fill="auto"/>
            <w:noWrap/>
            <w:vAlign w:val="center"/>
            <w:hideMark/>
          </w:tcPr>
          <w:p w14:paraId="4F542600"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(242)</w:t>
            </w:r>
          </w:p>
        </w:tc>
        <w:tc>
          <w:tcPr>
            <w:tcW w:w="1240" w:type="dxa"/>
            <w:tcBorders>
              <w:top w:val="nil"/>
              <w:left w:val="nil"/>
              <w:bottom w:val="single" w:sz="4" w:space="0" w:color="auto"/>
              <w:right w:val="single" w:sz="4" w:space="0" w:color="auto"/>
            </w:tcBorders>
            <w:shd w:val="clear" w:color="auto" w:fill="auto"/>
            <w:noWrap/>
            <w:vAlign w:val="center"/>
            <w:hideMark/>
          </w:tcPr>
          <w:p w14:paraId="6A429D59"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  </w:t>
            </w:r>
          </w:p>
        </w:tc>
      </w:tr>
      <w:tr w:rsidR="00A90637" w:rsidRPr="00A90637" w14:paraId="1FE16A09" w14:textId="77777777" w:rsidTr="00A90637">
        <w:trPr>
          <w:trHeight w:val="60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17FB26FE" w14:textId="77777777" w:rsidR="00A90637" w:rsidRPr="00A90637" w:rsidRDefault="00A90637" w:rsidP="00A90637">
            <w:pPr>
              <w:spacing w:line="240" w:lineRule="auto"/>
              <w:jc w:val="left"/>
              <w:rPr>
                <w:rFonts w:ascii="Calibri" w:eastAsia="Times New Roman" w:hAnsi="Calibri" w:cs="Calibri"/>
                <w:color w:val="000000"/>
                <w:lang w:eastAsia="en-GB"/>
              </w:rPr>
            </w:pPr>
            <w:r w:rsidRPr="00A90637">
              <w:rPr>
                <w:rFonts w:ascii="Calibri" w:eastAsia="Times New Roman" w:hAnsi="Calibri" w:cs="Calibri"/>
                <w:color w:val="000000"/>
                <w:lang w:eastAsia="en-GB"/>
              </w:rPr>
              <w:t>Public Open Space, Sports or Recreation</w:t>
            </w:r>
          </w:p>
        </w:tc>
        <w:tc>
          <w:tcPr>
            <w:tcW w:w="1240" w:type="dxa"/>
            <w:tcBorders>
              <w:top w:val="nil"/>
              <w:left w:val="nil"/>
              <w:bottom w:val="single" w:sz="4" w:space="0" w:color="auto"/>
              <w:right w:val="single" w:sz="4" w:space="0" w:color="auto"/>
            </w:tcBorders>
            <w:shd w:val="clear" w:color="auto" w:fill="auto"/>
            <w:noWrap/>
            <w:vAlign w:val="center"/>
            <w:hideMark/>
          </w:tcPr>
          <w:p w14:paraId="19139E6A"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1,063 </w:t>
            </w:r>
          </w:p>
        </w:tc>
        <w:tc>
          <w:tcPr>
            <w:tcW w:w="1240" w:type="dxa"/>
            <w:tcBorders>
              <w:top w:val="nil"/>
              <w:left w:val="nil"/>
              <w:bottom w:val="single" w:sz="4" w:space="0" w:color="auto"/>
              <w:right w:val="single" w:sz="4" w:space="0" w:color="auto"/>
            </w:tcBorders>
            <w:shd w:val="clear" w:color="auto" w:fill="auto"/>
            <w:noWrap/>
            <w:vAlign w:val="center"/>
            <w:hideMark/>
          </w:tcPr>
          <w:p w14:paraId="20B10E91"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556 </w:t>
            </w:r>
          </w:p>
        </w:tc>
        <w:tc>
          <w:tcPr>
            <w:tcW w:w="1240" w:type="dxa"/>
            <w:tcBorders>
              <w:top w:val="nil"/>
              <w:left w:val="nil"/>
              <w:bottom w:val="single" w:sz="4" w:space="0" w:color="auto"/>
              <w:right w:val="single" w:sz="4" w:space="0" w:color="auto"/>
            </w:tcBorders>
            <w:shd w:val="clear" w:color="auto" w:fill="auto"/>
            <w:noWrap/>
            <w:vAlign w:val="center"/>
            <w:hideMark/>
          </w:tcPr>
          <w:p w14:paraId="4388A425"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(635)</w:t>
            </w:r>
          </w:p>
        </w:tc>
        <w:tc>
          <w:tcPr>
            <w:tcW w:w="1240" w:type="dxa"/>
            <w:tcBorders>
              <w:top w:val="nil"/>
              <w:left w:val="nil"/>
              <w:bottom w:val="single" w:sz="4" w:space="0" w:color="auto"/>
              <w:right w:val="single" w:sz="4" w:space="0" w:color="auto"/>
            </w:tcBorders>
            <w:shd w:val="clear" w:color="auto" w:fill="auto"/>
            <w:noWrap/>
            <w:vAlign w:val="center"/>
            <w:hideMark/>
          </w:tcPr>
          <w:p w14:paraId="6C0E069E"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985 </w:t>
            </w:r>
          </w:p>
        </w:tc>
        <w:tc>
          <w:tcPr>
            <w:tcW w:w="1240" w:type="dxa"/>
            <w:tcBorders>
              <w:top w:val="nil"/>
              <w:left w:val="nil"/>
              <w:bottom w:val="single" w:sz="4" w:space="0" w:color="auto"/>
              <w:right w:val="single" w:sz="4" w:space="0" w:color="auto"/>
            </w:tcBorders>
            <w:shd w:val="clear" w:color="auto" w:fill="auto"/>
            <w:noWrap/>
            <w:vAlign w:val="center"/>
            <w:hideMark/>
          </w:tcPr>
          <w:p w14:paraId="0F850EF2"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(248)</w:t>
            </w:r>
          </w:p>
        </w:tc>
        <w:tc>
          <w:tcPr>
            <w:tcW w:w="1240" w:type="dxa"/>
            <w:tcBorders>
              <w:top w:val="nil"/>
              <w:left w:val="nil"/>
              <w:bottom w:val="single" w:sz="4" w:space="0" w:color="auto"/>
              <w:right w:val="single" w:sz="4" w:space="0" w:color="auto"/>
            </w:tcBorders>
            <w:shd w:val="clear" w:color="auto" w:fill="auto"/>
            <w:noWrap/>
            <w:vAlign w:val="center"/>
            <w:hideMark/>
          </w:tcPr>
          <w:p w14:paraId="7E9B1E2C"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737 </w:t>
            </w:r>
          </w:p>
        </w:tc>
      </w:tr>
      <w:tr w:rsidR="00A90637" w:rsidRPr="00A90637" w14:paraId="64F961D2" w14:textId="77777777" w:rsidTr="00A90637">
        <w:trPr>
          <w:trHeight w:val="375"/>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25AD8C0D" w14:textId="77777777" w:rsidR="00A90637" w:rsidRPr="00A90637" w:rsidRDefault="00A90637" w:rsidP="00A90637">
            <w:pPr>
              <w:spacing w:line="240" w:lineRule="auto"/>
              <w:jc w:val="left"/>
              <w:rPr>
                <w:rFonts w:ascii="Calibri" w:eastAsia="Times New Roman" w:hAnsi="Calibri" w:cs="Calibri"/>
                <w:color w:val="000000"/>
                <w:lang w:eastAsia="en-GB"/>
              </w:rPr>
            </w:pPr>
            <w:r w:rsidRPr="00A90637">
              <w:rPr>
                <w:rFonts w:ascii="Calibri" w:eastAsia="Times New Roman" w:hAnsi="Calibri" w:cs="Calibri"/>
                <w:color w:val="000000"/>
                <w:lang w:eastAsia="en-GB"/>
              </w:rPr>
              <w:t>Town Centre</w:t>
            </w:r>
          </w:p>
        </w:tc>
        <w:tc>
          <w:tcPr>
            <w:tcW w:w="1240" w:type="dxa"/>
            <w:tcBorders>
              <w:top w:val="nil"/>
              <w:left w:val="nil"/>
              <w:bottom w:val="single" w:sz="4" w:space="0" w:color="auto"/>
              <w:right w:val="single" w:sz="4" w:space="0" w:color="auto"/>
            </w:tcBorders>
            <w:shd w:val="clear" w:color="auto" w:fill="auto"/>
            <w:noWrap/>
            <w:vAlign w:val="center"/>
            <w:hideMark/>
          </w:tcPr>
          <w:p w14:paraId="0DE28BB8"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82 </w:t>
            </w:r>
          </w:p>
        </w:tc>
        <w:tc>
          <w:tcPr>
            <w:tcW w:w="1240" w:type="dxa"/>
            <w:tcBorders>
              <w:top w:val="nil"/>
              <w:left w:val="nil"/>
              <w:bottom w:val="single" w:sz="4" w:space="0" w:color="auto"/>
              <w:right w:val="single" w:sz="4" w:space="0" w:color="auto"/>
            </w:tcBorders>
            <w:shd w:val="clear" w:color="auto" w:fill="auto"/>
            <w:noWrap/>
            <w:vAlign w:val="center"/>
            <w:hideMark/>
          </w:tcPr>
          <w:p w14:paraId="4716BFC6"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4EC7F608"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68366858"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82 </w:t>
            </w:r>
          </w:p>
        </w:tc>
        <w:tc>
          <w:tcPr>
            <w:tcW w:w="1240" w:type="dxa"/>
            <w:tcBorders>
              <w:top w:val="nil"/>
              <w:left w:val="nil"/>
              <w:bottom w:val="single" w:sz="4" w:space="0" w:color="auto"/>
              <w:right w:val="single" w:sz="4" w:space="0" w:color="auto"/>
            </w:tcBorders>
            <w:shd w:val="clear" w:color="auto" w:fill="auto"/>
            <w:noWrap/>
            <w:vAlign w:val="center"/>
            <w:hideMark/>
          </w:tcPr>
          <w:p w14:paraId="6C112356"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(57)</w:t>
            </w:r>
          </w:p>
        </w:tc>
        <w:tc>
          <w:tcPr>
            <w:tcW w:w="1240" w:type="dxa"/>
            <w:tcBorders>
              <w:top w:val="nil"/>
              <w:left w:val="nil"/>
              <w:bottom w:val="single" w:sz="4" w:space="0" w:color="auto"/>
              <w:right w:val="single" w:sz="4" w:space="0" w:color="auto"/>
            </w:tcBorders>
            <w:shd w:val="clear" w:color="auto" w:fill="auto"/>
            <w:noWrap/>
            <w:vAlign w:val="center"/>
            <w:hideMark/>
          </w:tcPr>
          <w:p w14:paraId="688582D7"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25 </w:t>
            </w:r>
          </w:p>
        </w:tc>
      </w:tr>
      <w:tr w:rsidR="00A90637" w:rsidRPr="00A90637" w14:paraId="028B54AA" w14:textId="77777777" w:rsidTr="00A90637">
        <w:trPr>
          <w:trHeight w:val="375"/>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4E2AAED2" w14:textId="77777777" w:rsidR="00A90637" w:rsidRPr="00A90637" w:rsidRDefault="00A90637" w:rsidP="00A90637">
            <w:pPr>
              <w:spacing w:line="240" w:lineRule="auto"/>
              <w:jc w:val="left"/>
              <w:rPr>
                <w:rFonts w:ascii="Calibri" w:eastAsia="Times New Roman" w:hAnsi="Calibri" w:cs="Calibri"/>
                <w:color w:val="000000"/>
                <w:lang w:eastAsia="en-GB"/>
              </w:rPr>
            </w:pPr>
            <w:r w:rsidRPr="00A90637">
              <w:rPr>
                <w:rFonts w:ascii="Calibri" w:eastAsia="Times New Roman" w:hAnsi="Calibri" w:cs="Calibri"/>
                <w:color w:val="000000"/>
                <w:lang w:eastAsia="en-GB"/>
              </w:rPr>
              <w:t>Transport</w:t>
            </w:r>
          </w:p>
        </w:tc>
        <w:tc>
          <w:tcPr>
            <w:tcW w:w="1240" w:type="dxa"/>
            <w:tcBorders>
              <w:top w:val="nil"/>
              <w:left w:val="nil"/>
              <w:bottom w:val="single" w:sz="4" w:space="0" w:color="auto"/>
              <w:right w:val="single" w:sz="4" w:space="0" w:color="auto"/>
            </w:tcBorders>
            <w:shd w:val="clear" w:color="auto" w:fill="auto"/>
            <w:noWrap/>
            <w:vAlign w:val="center"/>
            <w:hideMark/>
          </w:tcPr>
          <w:p w14:paraId="56819FF4"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1,067 </w:t>
            </w:r>
          </w:p>
        </w:tc>
        <w:tc>
          <w:tcPr>
            <w:tcW w:w="1240" w:type="dxa"/>
            <w:tcBorders>
              <w:top w:val="nil"/>
              <w:left w:val="nil"/>
              <w:bottom w:val="single" w:sz="4" w:space="0" w:color="auto"/>
              <w:right w:val="single" w:sz="4" w:space="0" w:color="auto"/>
            </w:tcBorders>
            <w:shd w:val="clear" w:color="auto" w:fill="auto"/>
            <w:noWrap/>
            <w:vAlign w:val="center"/>
            <w:hideMark/>
          </w:tcPr>
          <w:p w14:paraId="45E24289"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141F5505"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(64)</w:t>
            </w:r>
          </w:p>
        </w:tc>
        <w:tc>
          <w:tcPr>
            <w:tcW w:w="1240" w:type="dxa"/>
            <w:tcBorders>
              <w:top w:val="nil"/>
              <w:left w:val="nil"/>
              <w:bottom w:val="single" w:sz="4" w:space="0" w:color="auto"/>
              <w:right w:val="single" w:sz="4" w:space="0" w:color="auto"/>
            </w:tcBorders>
            <w:shd w:val="clear" w:color="auto" w:fill="auto"/>
            <w:noWrap/>
            <w:vAlign w:val="center"/>
            <w:hideMark/>
          </w:tcPr>
          <w:p w14:paraId="110D4CBA"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1,003 </w:t>
            </w:r>
          </w:p>
        </w:tc>
        <w:tc>
          <w:tcPr>
            <w:tcW w:w="1240" w:type="dxa"/>
            <w:tcBorders>
              <w:top w:val="nil"/>
              <w:left w:val="nil"/>
              <w:bottom w:val="single" w:sz="4" w:space="0" w:color="auto"/>
              <w:right w:val="single" w:sz="4" w:space="0" w:color="auto"/>
            </w:tcBorders>
            <w:shd w:val="clear" w:color="auto" w:fill="auto"/>
            <w:noWrap/>
            <w:vAlign w:val="center"/>
            <w:hideMark/>
          </w:tcPr>
          <w:p w14:paraId="69B453CD"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(843)</w:t>
            </w:r>
          </w:p>
        </w:tc>
        <w:tc>
          <w:tcPr>
            <w:tcW w:w="1240" w:type="dxa"/>
            <w:tcBorders>
              <w:top w:val="nil"/>
              <w:left w:val="nil"/>
              <w:bottom w:val="single" w:sz="4" w:space="0" w:color="auto"/>
              <w:right w:val="single" w:sz="4" w:space="0" w:color="auto"/>
            </w:tcBorders>
            <w:shd w:val="clear" w:color="auto" w:fill="auto"/>
            <w:noWrap/>
            <w:vAlign w:val="center"/>
            <w:hideMark/>
          </w:tcPr>
          <w:p w14:paraId="45FFD496"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160 </w:t>
            </w:r>
          </w:p>
        </w:tc>
      </w:tr>
      <w:tr w:rsidR="00A90637" w:rsidRPr="00A90637" w14:paraId="5DD23A60" w14:textId="77777777" w:rsidTr="00A90637">
        <w:trPr>
          <w:trHeight w:val="375"/>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363BACE3" w14:textId="77777777" w:rsidR="00A90637" w:rsidRPr="00A90637" w:rsidRDefault="00A90637" w:rsidP="00A90637">
            <w:pPr>
              <w:spacing w:line="240" w:lineRule="auto"/>
              <w:jc w:val="left"/>
              <w:rPr>
                <w:rFonts w:ascii="Calibri" w:eastAsia="Times New Roman" w:hAnsi="Calibri" w:cs="Calibri"/>
                <w:color w:val="000000"/>
                <w:lang w:eastAsia="en-GB"/>
              </w:rPr>
            </w:pPr>
            <w:r w:rsidRPr="00A90637">
              <w:rPr>
                <w:rFonts w:ascii="Calibri" w:eastAsia="Times New Roman" w:hAnsi="Calibri" w:cs="Calibri"/>
                <w:color w:val="000000"/>
                <w:lang w:eastAsia="en-GB"/>
              </w:rPr>
              <w:t>Miscellaneous</w:t>
            </w:r>
          </w:p>
        </w:tc>
        <w:tc>
          <w:tcPr>
            <w:tcW w:w="1240" w:type="dxa"/>
            <w:tcBorders>
              <w:top w:val="nil"/>
              <w:left w:val="nil"/>
              <w:bottom w:val="single" w:sz="4" w:space="0" w:color="auto"/>
              <w:right w:val="single" w:sz="4" w:space="0" w:color="auto"/>
            </w:tcBorders>
            <w:shd w:val="clear" w:color="auto" w:fill="auto"/>
            <w:noWrap/>
            <w:vAlign w:val="center"/>
            <w:hideMark/>
          </w:tcPr>
          <w:p w14:paraId="2A6463F9"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685C1A53"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35 </w:t>
            </w:r>
          </w:p>
        </w:tc>
        <w:tc>
          <w:tcPr>
            <w:tcW w:w="1240" w:type="dxa"/>
            <w:tcBorders>
              <w:top w:val="nil"/>
              <w:left w:val="nil"/>
              <w:bottom w:val="single" w:sz="4" w:space="0" w:color="auto"/>
              <w:right w:val="single" w:sz="4" w:space="0" w:color="auto"/>
            </w:tcBorders>
            <w:shd w:val="clear" w:color="auto" w:fill="auto"/>
            <w:noWrap/>
            <w:vAlign w:val="center"/>
            <w:hideMark/>
          </w:tcPr>
          <w:p w14:paraId="306ADE4F"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0EDF55B8"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35 </w:t>
            </w:r>
          </w:p>
        </w:tc>
        <w:tc>
          <w:tcPr>
            <w:tcW w:w="1240" w:type="dxa"/>
            <w:tcBorders>
              <w:top w:val="nil"/>
              <w:left w:val="nil"/>
              <w:bottom w:val="single" w:sz="4" w:space="0" w:color="auto"/>
              <w:right w:val="single" w:sz="4" w:space="0" w:color="auto"/>
            </w:tcBorders>
            <w:shd w:val="clear" w:color="auto" w:fill="auto"/>
            <w:noWrap/>
            <w:vAlign w:val="center"/>
            <w:hideMark/>
          </w:tcPr>
          <w:p w14:paraId="6C02D46D"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439C4A11" w14:textId="77777777" w:rsidR="00A90637" w:rsidRPr="00A90637" w:rsidRDefault="00A90637" w:rsidP="00A90637">
            <w:pPr>
              <w:spacing w:line="240" w:lineRule="auto"/>
              <w:jc w:val="right"/>
              <w:rPr>
                <w:rFonts w:ascii="Calibri" w:eastAsia="Times New Roman" w:hAnsi="Calibri" w:cs="Calibri"/>
                <w:color w:val="000000"/>
                <w:lang w:eastAsia="en-GB"/>
              </w:rPr>
            </w:pPr>
            <w:r w:rsidRPr="00A90637">
              <w:rPr>
                <w:rFonts w:ascii="Calibri" w:eastAsia="Times New Roman" w:hAnsi="Calibri" w:cs="Calibri"/>
                <w:color w:val="000000"/>
                <w:lang w:eastAsia="en-GB"/>
              </w:rPr>
              <w:t xml:space="preserve">35 </w:t>
            </w:r>
          </w:p>
        </w:tc>
      </w:tr>
      <w:tr w:rsidR="00A90637" w:rsidRPr="00A90637" w14:paraId="0E45EB1D" w14:textId="77777777" w:rsidTr="00A90637">
        <w:trPr>
          <w:trHeight w:val="375"/>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65166AA9" w14:textId="77777777" w:rsidR="00A90637" w:rsidRPr="00A90637" w:rsidRDefault="00A90637" w:rsidP="00A90637">
            <w:pPr>
              <w:spacing w:line="240" w:lineRule="auto"/>
              <w:jc w:val="left"/>
              <w:rPr>
                <w:rFonts w:ascii="Calibri" w:eastAsia="Times New Roman" w:hAnsi="Calibri" w:cs="Calibri"/>
                <w:b/>
                <w:bCs/>
                <w:color w:val="000000"/>
                <w:lang w:eastAsia="en-GB"/>
              </w:rPr>
            </w:pPr>
            <w:r w:rsidRPr="00A90637">
              <w:rPr>
                <w:rFonts w:ascii="Calibri" w:eastAsia="Times New Roman" w:hAnsi="Calibri" w:cs="Calibri"/>
                <w:b/>
                <w:bCs/>
                <w:color w:val="000000"/>
                <w:lang w:eastAsia="en-GB"/>
              </w:rPr>
              <w:t>Total</w:t>
            </w:r>
          </w:p>
        </w:tc>
        <w:tc>
          <w:tcPr>
            <w:tcW w:w="1240" w:type="dxa"/>
            <w:tcBorders>
              <w:top w:val="nil"/>
              <w:left w:val="nil"/>
              <w:bottom w:val="single" w:sz="4" w:space="0" w:color="auto"/>
              <w:right w:val="single" w:sz="4" w:space="0" w:color="auto"/>
            </w:tcBorders>
            <w:shd w:val="clear" w:color="auto" w:fill="auto"/>
            <w:noWrap/>
            <w:vAlign w:val="center"/>
            <w:hideMark/>
          </w:tcPr>
          <w:p w14:paraId="2806C3EA" w14:textId="77777777" w:rsidR="00A90637" w:rsidRPr="00A90637" w:rsidRDefault="00A90637" w:rsidP="00A90637">
            <w:pPr>
              <w:spacing w:line="240" w:lineRule="auto"/>
              <w:jc w:val="right"/>
              <w:rPr>
                <w:rFonts w:ascii="Calibri" w:eastAsia="Times New Roman" w:hAnsi="Calibri" w:cs="Calibri"/>
                <w:b/>
                <w:bCs/>
                <w:color w:val="000000"/>
                <w:lang w:eastAsia="en-GB"/>
              </w:rPr>
            </w:pPr>
            <w:r w:rsidRPr="00A90637">
              <w:rPr>
                <w:rFonts w:ascii="Calibri" w:eastAsia="Times New Roman" w:hAnsi="Calibri" w:cs="Calibri"/>
                <w:b/>
                <w:bCs/>
                <w:color w:val="000000"/>
                <w:lang w:eastAsia="en-GB"/>
              </w:rPr>
              <w:t xml:space="preserve">7,245 </w:t>
            </w:r>
          </w:p>
        </w:tc>
        <w:tc>
          <w:tcPr>
            <w:tcW w:w="1240" w:type="dxa"/>
            <w:tcBorders>
              <w:top w:val="nil"/>
              <w:left w:val="nil"/>
              <w:bottom w:val="single" w:sz="4" w:space="0" w:color="auto"/>
              <w:right w:val="single" w:sz="4" w:space="0" w:color="auto"/>
            </w:tcBorders>
            <w:shd w:val="clear" w:color="auto" w:fill="auto"/>
            <w:noWrap/>
            <w:vAlign w:val="center"/>
            <w:hideMark/>
          </w:tcPr>
          <w:p w14:paraId="2696BEC7" w14:textId="77777777" w:rsidR="00A90637" w:rsidRPr="00A90637" w:rsidRDefault="00A90637" w:rsidP="00A90637">
            <w:pPr>
              <w:spacing w:line="240" w:lineRule="auto"/>
              <w:jc w:val="right"/>
              <w:rPr>
                <w:rFonts w:ascii="Calibri" w:eastAsia="Times New Roman" w:hAnsi="Calibri" w:cs="Calibri"/>
                <w:b/>
                <w:bCs/>
                <w:color w:val="000000"/>
                <w:lang w:eastAsia="en-GB"/>
              </w:rPr>
            </w:pPr>
            <w:r w:rsidRPr="00A90637">
              <w:rPr>
                <w:rFonts w:ascii="Calibri" w:eastAsia="Times New Roman" w:hAnsi="Calibri" w:cs="Calibri"/>
                <w:b/>
                <w:bCs/>
                <w:color w:val="000000"/>
                <w:lang w:eastAsia="en-GB"/>
              </w:rPr>
              <w:t xml:space="preserve">914 </w:t>
            </w:r>
          </w:p>
        </w:tc>
        <w:tc>
          <w:tcPr>
            <w:tcW w:w="1240" w:type="dxa"/>
            <w:tcBorders>
              <w:top w:val="nil"/>
              <w:left w:val="nil"/>
              <w:bottom w:val="single" w:sz="4" w:space="0" w:color="auto"/>
              <w:right w:val="single" w:sz="4" w:space="0" w:color="auto"/>
            </w:tcBorders>
            <w:shd w:val="clear" w:color="auto" w:fill="auto"/>
            <w:noWrap/>
            <w:vAlign w:val="center"/>
            <w:hideMark/>
          </w:tcPr>
          <w:p w14:paraId="002198CF" w14:textId="77777777" w:rsidR="00A90637" w:rsidRPr="00A90637" w:rsidRDefault="00A90637" w:rsidP="00A90637">
            <w:pPr>
              <w:spacing w:line="240" w:lineRule="auto"/>
              <w:jc w:val="right"/>
              <w:rPr>
                <w:rFonts w:ascii="Calibri" w:eastAsia="Times New Roman" w:hAnsi="Calibri" w:cs="Calibri"/>
                <w:b/>
                <w:bCs/>
                <w:color w:val="000000"/>
                <w:lang w:eastAsia="en-GB"/>
              </w:rPr>
            </w:pPr>
            <w:r w:rsidRPr="00A90637">
              <w:rPr>
                <w:rFonts w:ascii="Calibri" w:eastAsia="Times New Roman" w:hAnsi="Calibri" w:cs="Calibri"/>
                <w:b/>
                <w:bCs/>
                <w:color w:val="000000"/>
                <w:lang w:eastAsia="en-GB"/>
              </w:rPr>
              <w:t>(1,637)</w:t>
            </w:r>
          </w:p>
        </w:tc>
        <w:tc>
          <w:tcPr>
            <w:tcW w:w="1240" w:type="dxa"/>
            <w:tcBorders>
              <w:top w:val="nil"/>
              <w:left w:val="nil"/>
              <w:bottom w:val="single" w:sz="4" w:space="0" w:color="auto"/>
              <w:right w:val="single" w:sz="4" w:space="0" w:color="auto"/>
            </w:tcBorders>
            <w:shd w:val="clear" w:color="auto" w:fill="auto"/>
            <w:noWrap/>
            <w:vAlign w:val="center"/>
            <w:hideMark/>
          </w:tcPr>
          <w:p w14:paraId="23EFFFBD" w14:textId="77777777" w:rsidR="00A90637" w:rsidRPr="00A90637" w:rsidRDefault="00A90637" w:rsidP="00A90637">
            <w:pPr>
              <w:spacing w:line="240" w:lineRule="auto"/>
              <w:jc w:val="right"/>
              <w:rPr>
                <w:rFonts w:ascii="Calibri" w:eastAsia="Times New Roman" w:hAnsi="Calibri" w:cs="Calibri"/>
                <w:b/>
                <w:bCs/>
                <w:color w:val="000000"/>
                <w:lang w:eastAsia="en-GB"/>
              </w:rPr>
            </w:pPr>
            <w:r w:rsidRPr="00A90637">
              <w:rPr>
                <w:rFonts w:ascii="Calibri" w:eastAsia="Times New Roman" w:hAnsi="Calibri" w:cs="Calibri"/>
                <w:b/>
                <w:bCs/>
                <w:color w:val="000000"/>
                <w:lang w:eastAsia="en-GB"/>
              </w:rPr>
              <w:t xml:space="preserve">6,523 </w:t>
            </w:r>
          </w:p>
        </w:tc>
        <w:tc>
          <w:tcPr>
            <w:tcW w:w="1240" w:type="dxa"/>
            <w:tcBorders>
              <w:top w:val="nil"/>
              <w:left w:val="nil"/>
              <w:bottom w:val="single" w:sz="4" w:space="0" w:color="auto"/>
              <w:right w:val="single" w:sz="4" w:space="0" w:color="auto"/>
            </w:tcBorders>
            <w:shd w:val="clear" w:color="auto" w:fill="auto"/>
            <w:noWrap/>
            <w:vAlign w:val="center"/>
            <w:hideMark/>
          </w:tcPr>
          <w:p w14:paraId="3944701E" w14:textId="77777777" w:rsidR="00A90637" w:rsidRPr="00A90637" w:rsidRDefault="00A90637" w:rsidP="00A90637">
            <w:pPr>
              <w:spacing w:line="240" w:lineRule="auto"/>
              <w:jc w:val="right"/>
              <w:rPr>
                <w:rFonts w:ascii="Calibri" w:eastAsia="Times New Roman" w:hAnsi="Calibri" w:cs="Calibri"/>
                <w:b/>
                <w:bCs/>
                <w:color w:val="000000"/>
                <w:lang w:eastAsia="en-GB"/>
              </w:rPr>
            </w:pPr>
            <w:r w:rsidRPr="00A90637">
              <w:rPr>
                <w:rFonts w:ascii="Calibri" w:eastAsia="Times New Roman" w:hAnsi="Calibri" w:cs="Calibri"/>
                <w:b/>
                <w:bCs/>
                <w:color w:val="000000"/>
                <w:lang w:eastAsia="en-GB"/>
              </w:rPr>
              <w:t>(5,029)</w:t>
            </w:r>
          </w:p>
        </w:tc>
        <w:tc>
          <w:tcPr>
            <w:tcW w:w="1240" w:type="dxa"/>
            <w:tcBorders>
              <w:top w:val="nil"/>
              <w:left w:val="nil"/>
              <w:bottom w:val="single" w:sz="4" w:space="0" w:color="auto"/>
              <w:right w:val="single" w:sz="4" w:space="0" w:color="auto"/>
            </w:tcBorders>
            <w:shd w:val="clear" w:color="auto" w:fill="auto"/>
            <w:noWrap/>
            <w:vAlign w:val="center"/>
            <w:hideMark/>
          </w:tcPr>
          <w:p w14:paraId="118DF6E8" w14:textId="77777777" w:rsidR="00A90637" w:rsidRPr="00A90637" w:rsidRDefault="00A90637" w:rsidP="00A90637">
            <w:pPr>
              <w:spacing w:line="240" w:lineRule="auto"/>
              <w:jc w:val="right"/>
              <w:rPr>
                <w:rFonts w:ascii="Calibri" w:eastAsia="Times New Roman" w:hAnsi="Calibri" w:cs="Calibri"/>
                <w:b/>
                <w:bCs/>
                <w:color w:val="000000"/>
                <w:lang w:eastAsia="en-GB"/>
              </w:rPr>
            </w:pPr>
            <w:r w:rsidRPr="00A90637">
              <w:rPr>
                <w:rFonts w:ascii="Calibri" w:eastAsia="Times New Roman" w:hAnsi="Calibri" w:cs="Calibri"/>
                <w:b/>
                <w:bCs/>
                <w:color w:val="000000"/>
                <w:lang w:eastAsia="en-GB"/>
              </w:rPr>
              <w:t xml:space="preserve">1,494 </w:t>
            </w:r>
          </w:p>
        </w:tc>
      </w:tr>
    </w:tbl>
    <w:p w14:paraId="3D13EC81" w14:textId="3AE13743" w:rsidR="00DF438A" w:rsidRDefault="00DF438A" w:rsidP="00D4794B">
      <w:pPr>
        <w:spacing w:after="160" w:line="259" w:lineRule="auto"/>
        <w:rPr>
          <w:bCs/>
        </w:rPr>
      </w:pPr>
    </w:p>
    <w:p w14:paraId="6D11D596" w14:textId="16151769" w:rsidR="00A90637" w:rsidRDefault="00A90637" w:rsidP="00D4794B">
      <w:pPr>
        <w:spacing w:after="160" w:line="259" w:lineRule="auto"/>
        <w:rPr>
          <w:bCs/>
        </w:rPr>
      </w:pPr>
    </w:p>
    <w:p w14:paraId="422FCED1" w14:textId="77777777" w:rsidR="00A90637" w:rsidRDefault="00A90637" w:rsidP="00D4794B">
      <w:pPr>
        <w:spacing w:after="160" w:line="259" w:lineRule="auto"/>
        <w:rPr>
          <w:bCs/>
        </w:rPr>
      </w:pPr>
      <w:bookmarkStart w:id="0" w:name="_GoBack"/>
      <w:bookmarkEnd w:id="0"/>
    </w:p>
    <w:p w14:paraId="3559F028" w14:textId="01699208" w:rsidR="00E63F3B" w:rsidRPr="00E63F3B" w:rsidRDefault="00E63F3B" w:rsidP="00D4794B">
      <w:pPr>
        <w:spacing w:after="160" w:line="259" w:lineRule="auto"/>
        <w:rPr>
          <w:b/>
          <w:bCs/>
        </w:rPr>
      </w:pPr>
      <w:r w:rsidRPr="00E63F3B">
        <w:rPr>
          <w:b/>
          <w:bCs/>
        </w:rPr>
        <w:t>Table 2 – Section 106 funding to be applied to capital schemes</w:t>
      </w:r>
    </w:p>
    <w:tbl>
      <w:tblPr>
        <w:tblW w:w="9960" w:type="dxa"/>
        <w:tblLook w:val="04A0" w:firstRow="1" w:lastRow="0" w:firstColumn="1" w:lastColumn="0" w:noHBand="0" w:noVBand="1"/>
      </w:tblPr>
      <w:tblGrid>
        <w:gridCol w:w="4150"/>
        <w:gridCol w:w="1169"/>
        <w:gridCol w:w="1170"/>
        <w:gridCol w:w="1170"/>
        <w:gridCol w:w="1170"/>
        <w:gridCol w:w="1131"/>
      </w:tblGrid>
      <w:tr w:rsidR="00A90637" w:rsidRPr="00A90637" w14:paraId="1B8B6A65" w14:textId="77777777" w:rsidTr="00A90637">
        <w:trPr>
          <w:trHeight w:val="600"/>
          <w:tblHeader/>
        </w:trPr>
        <w:tc>
          <w:tcPr>
            <w:tcW w:w="41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9A70E85"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Scheme Name</w:t>
            </w:r>
          </w:p>
        </w:tc>
        <w:tc>
          <w:tcPr>
            <w:tcW w:w="1169" w:type="dxa"/>
            <w:tcBorders>
              <w:top w:val="single" w:sz="4" w:space="0" w:color="auto"/>
              <w:left w:val="nil"/>
              <w:bottom w:val="single" w:sz="4" w:space="0" w:color="auto"/>
              <w:right w:val="single" w:sz="4" w:space="0" w:color="auto"/>
            </w:tcBorders>
            <w:shd w:val="clear" w:color="000000" w:fill="B8CCE4"/>
            <w:vAlign w:val="center"/>
            <w:hideMark/>
          </w:tcPr>
          <w:p w14:paraId="28E4D0F8" w14:textId="77777777" w:rsidR="00A90637" w:rsidRPr="00A90637" w:rsidRDefault="00A90637" w:rsidP="00A90637">
            <w:pPr>
              <w:spacing w:line="240" w:lineRule="auto"/>
              <w:jc w:val="center"/>
              <w:rPr>
                <w:rFonts w:ascii="Calibri" w:eastAsia="Times New Roman" w:hAnsi="Calibri" w:cs="Calibri"/>
                <w:lang w:eastAsia="en-GB"/>
              </w:rPr>
            </w:pPr>
            <w:r w:rsidRPr="00A90637">
              <w:rPr>
                <w:rFonts w:ascii="Calibri" w:eastAsia="Times New Roman" w:hAnsi="Calibri" w:cs="Calibri"/>
                <w:lang w:eastAsia="en-GB"/>
              </w:rPr>
              <w:t>2021/22</w:t>
            </w:r>
            <w:r w:rsidRPr="00A90637">
              <w:rPr>
                <w:rFonts w:ascii="Calibri" w:eastAsia="Times New Roman" w:hAnsi="Calibri" w:cs="Calibri"/>
                <w:lang w:eastAsia="en-GB"/>
              </w:rPr>
              <w:br/>
              <w:t>£'000</w:t>
            </w:r>
          </w:p>
        </w:tc>
        <w:tc>
          <w:tcPr>
            <w:tcW w:w="1170" w:type="dxa"/>
            <w:tcBorders>
              <w:top w:val="single" w:sz="4" w:space="0" w:color="auto"/>
              <w:left w:val="nil"/>
              <w:bottom w:val="single" w:sz="4" w:space="0" w:color="auto"/>
              <w:right w:val="single" w:sz="4" w:space="0" w:color="auto"/>
            </w:tcBorders>
            <w:shd w:val="clear" w:color="000000" w:fill="B8CCE4"/>
            <w:vAlign w:val="center"/>
            <w:hideMark/>
          </w:tcPr>
          <w:p w14:paraId="6D318CF6" w14:textId="77777777" w:rsidR="00A90637" w:rsidRPr="00A90637" w:rsidRDefault="00A90637" w:rsidP="00A90637">
            <w:pPr>
              <w:spacing w:line="240" w:lineRule="auto"/>
              <w:jc w:val="center"/>
              <w:rPr>
                <w:rFonts w:ascii="Calibri" w:eastAsia="Times New Roman" w:hAnsi="Calibri" w:cs="Calibri"/>
                <w:lang w:eastAsia="en-GB"/>
              </w:rPr>
            </w:pPr>
            <w:r w:rsidRPr="00A90637">
              <w:rPr>
                <w:rFonts w:ascii="Calibri" w:eastAsia="Times New Roman" w:hAnsi="Calibri" w:cs="Calibri"/>
                <w:lang w:eastAsia="en-GB"/>
              </w:rPr>
              <w:t>2022/23</w:t>
            </w:r>
            <w:r w:rsidRPr="00A90637">
              <w:rPr>
                <w:rFonts w:ascii="Calibri" w:eastAsia="Times New Roman" w:hAnsi="Calibri" w:cs="Calibri"/>
                <w:lang w:eastAsia="en-GB"/>
              </w:rPr>
              <w:br/>
              <w:t>£'000</w:t>
            </w:r>
          </w:p>
        </w:tc>
        <w:tc>
          <w:tcPr>
            <w:tcW w:w="1170" w:type="dxa"/>
            <w:tcBorders>
              <w:top w:val="single" w:sz="4" w:space="0" w:color="auto"/>
              <w:left w:val="nil"/>
              <w:bottom w:val="single" w:sz="4" w:space="0" w:color="auto"/>
              <w:right w:val="single" w:sz="4" w:space="0" w:color="auto"/>
            </w:tcBorders>
            <w:shd w:val="clear" w:color="000000" w:fill="B8CCE4"/>
            <w:vAlign w:val="center"/>
            <w:hideMark/>
          </w:tcPr>
          <w:p w14:paraId="20F9B587" w14:textId="77777777" w:rsidR="00A90637" w:rsidRPr="00A90637" w:rsidRDefault="00A90637" w:rsidP="00A90637">
            <w:pPr>
              <w:spacing w:line="240" w:lineRule="auto"/>
              <w:jc w:val="center"/>
              <w:rPr>
                <w:rFonts w:ascii="Calibri" w:eastAsia="Times New Roman" w:hAnsi="Calibri" w:cs="Calibri"/>
                <w:lang w:eastAsia="en-GB"/>
              </w:rPr>
            </w:pPr>
            <w:r w:rsidRPr="00A90637">
              <w:rPr>
                <w:rFonts w:ascii="Calibri" w:eastAsia="Times New Roman" w:hAnsi="Calibri" w:cs="Calibri"/>
                <w:lang w:eastAsia="en-GB"/>
              </w:rPr>
              <w:t>2023/24</w:t>
            </w:r>
            <w:r w:rsidRPr="00A90637">
              <w:rPr>
                <w:rFonts w:ascii="Calibri" w:eastAsia="Times New Roman" w:hAnsi="Calibri" w:cs="Calibri"/>
                <w:lang w:eastAsia="en-GB"/>
              </w:rPr>
              <w:br/>
              <w:t>£'000</w:t>
            </w:r>
          </w:p>
        </w:tc>
        <w:tc>
          <w:tcPr>
            <w:tcW w:w="1170" w:type="dxa"/>
            <w:tcBorders>
              <w:top w:val="single" w:sz="4" w:space="0" w:color="auto"/>
              <w:left w:val="nil"/>
              <w:bottom w:val="single" w:sz="4" w:space="0" w:color="auto"/>
              <w:right w:val="single" w:sz="4" w:space="0" w:color="auto"/>
            </w:tcBorders>
            <w:shd w:val="clear" w:color="000000" w:fill="B8CCE4"/>
            <w:vAlign w:val="center"/>
            <w:hideMark/>
          </w:tcPr>
          <w:p w14:paraId="26B5AEC5" w14:textId="77777777" w:rsidR="00A90637" w:rsidRPr="00A90637" w:rsidRDefault="00A90637" w:rsidP="00A90637">
            <w:pPr>
              <w:spacing w:line="240" w:lineRule="auto"/>
              <w:jc w:val="center"/>
              <w:rPr>
                <w:rFonts w:ascii="Calibri" w:eastAsia="Times New Roman" w:hAnsi="Calibri" w:cs="Calibri"/>
                <w:lang w:eastAsia="en-GB"/>
              </w:rPr>
            </w:pPr>
            <w:r w:rsidRPr="00A90637">
              <w:rPr>
                <w:rFonts w:ascii="Calibri" w:eastAsia="Times New Roman" w:hAnsi="Calibri" w:cs="Calibri"/>
                <w:lang w:eastAsia="en-GB"/>
              </w:rPr>
              <w:t>2024/25</w:t>
            </w:r>
            <w:r w:rsidRPr="00A90637">
              <w:rPr>
                <w:rFonts w:ascii="Calibri" w:eastAsia="Times New Roman" w:hAnsi="Calibri" w:cs="Calibri"/>
                <w:lang w:eastAsia="en-GB"/>
              </w:rPr>
              <w:br/>
              <w:t>£'000</w:t>
            </w:r>
          </w:p>
        </w:tc>
        <w:tc>
          <w:tcPr>
            <w:tcW w:w="1131" w:type="dxa"/>
            <w:tcBorders>
              <w:top w:val="single" w:sz="4" w:space="0" w:color="auto"/>
              <w:left w:val="nil"/>
              <w:bottom w:val="single" w:sz="4" w:space="0" w:color="auto"/>
              <w:right w:val="single" w:sz="4" w:space="0" w:color="auto"/>
            </w:tcBorders>
            <w:shd w:val="clear" w:color="000000" w:fill="B8CCE4"/>
            <w:vAlign w:val="center"/>
            <w:hideMark/>
          </w:tcPr>
          <w:p w14:paraId="22FE9449" w14:textId="77777777" w:rsidR="00A90637" w:rsidRPr="00A90637" w:rsidRDefault="00A90637" w:rsidP="00A90637">
            <w:pPr>
              <w:spacing w:line="240" w:lineRule="auto"/>
              <w:jc w:val="center"/>
              <w:rPr>
                <w:rFonts w:ascii="Calibri" w:eastAsia="Times New Roman" w:hAnsi="Calibri" w:cs="Calibri"/>
                <w:lang w:eastAsia="en-GB"/>
              </w:rPr>
            </w:pPr>
            <w:r w:rsidRPr="00A90637">
              <w:rPr>
                <w:rFonts w:ascii="Calibri" w:eastAsia="Times New Roman" w:hAnsi="Calibri" w:cs="Calibri"/>
                <w:lang w:eastAsia="en-GB"/>
              </w:rPr>
              <w:t>Total</w:t>
            </w:r>
            <w:r w:rsidRPr="00A90637">
              <w:rPr>
                <w:rFonts w:ascii="Calibri" w:eastAsia="Times New Roman" w:hAnsi="Calibri" w:cs="Calibri"/>
                <w:lang w:eastAsia="en-GB"/>
              </w:rPr>
              <w:br/>
              <w:t>£'000</w:t>
            </w:r>
          </w:p>
        </w:tc>
      </w:tr>
      <w:tr w:rsidR="00A90637" w:rsidRPr="00A90637" w14:paraId="38E4DD16" w14:textId="77777777" w:rsidTr="00A90637">
        <w:trPr>
          <w:trHeight w:val="375"/>
        </w:trPr>
        <w:tc>
          <w:tcPr>
            <w:tcW w:w="6489" w:type="dxa"/>
            <w:gridSpan w:val="3"/>
            <w:tcBorders>
              <w:top w:val="nil"/>
              <w:left w:val="nil"/>
              <w:bottom w:val="nil"/>
              <w:right w:val="nil"/>
            </w:tcBorders>
            <w:shd w:val="clear" w:color="auto" w:fill="auto"/>
            <w:noWrap/>
            <w:vAlign w:val="center"/>
            <w:hideMark/>
          </w:tcPr>
          <w:p w14:paraId="4E7D6F2B" w14:textId="77777777" w:rsidR="00A90637" w:rsidRPr="00A90637" w:rsidRDefault="00A90637" w:rsidP="00A90637">
            <w:pPr>
              <w:spacing w:line="240" w:lineRule="auto"/>
              <w:jc w:val="left"/>
              <w:rPr>
                <w:rFonts w:ascii="Calibri" w:eastAsia="Times New Roman" w:hAnsi="Calibri" w:cs="Calibri"/>
                <w:b/>
                <w:bCs/>
                <w:color w:val="0070C0"/>
                <w:sz w:val="28"/>
                <w:szCs w:val="28"/>
                <w:lang w:eastAsia="en-GB"/>
              </w:rPr>
            </w:pPr>
            <w:r w:rsidRPr="00A90637">
              <w:rPr>
                <w:rFonts w:ascii="Calibri" w:eastAsia="Times New Roman" w:hAnsi="Calibri" w:cs="Calibri"/>
                <w:b/>
                <w:bCs/>
                <w:color w:val="0070C0"/>
                <w:sz w:val="28"/>
                <w:szCs w:val="28"/>
                <w:lang w:eastAsia="en-GB"/>
              </w:rPr>
              <w:t>Good homes, green spaces and healthy places</w:t>
            </w:r>
          </w:p>
        </w:tc>
        <w:tc>
          <w:tcPr>
            <w:tcW w:w="1170" w:type="dxa"/>
            <w:tcBorders>
              <w:top w:val="nil"/>
              <w:left w:val="nil"/>
              <w:bottom w:val="nil"/>
              <w:right w:val="nil"/>
            </w:tcBorders>
            <w:shd w:val="clear" w:color="auto" w:fill="auto"/>
            <w:noWrap/>
            <w:vAlign w:val="center"/>
            <w:hideMark/>
          </w:tcPr>
          <w:p w14:paraId="3D1EB397" w14:textId="77777777" w:rsidR="00A90637" w:rsidRPr="00A90637" w:rsidRDefault="00A90637" w:rsidP="00A90637">
            <w:pPr>
              <w:spacing w:line="240" w:lineRule="auto"/>
              <w:jc w:val="left"/>
              <w:rPr>
                <w:rFonts w:ascii="Calibri" w:eastAsia="Times New Roman" w:hAnsi="Calibri" w:cs="Calibri"/>
                <w:b/>
                <w:bCs/>
                <w:color w:val="0070C0"/>
                <w:sz w:val="28"/>
                <w:szCs w:val="28"/>
                <w:lang w:eastAsia="en-GB"/>
              </w:rPr>
            </w:pPr>
          </w:p>
        </w:tc>
        <w:tc>
          <w:tcPr>
            <w:tcW w:w="1170" w:type="dxa"/>
            <w:tcBorders>
              <w:top w:val="nil"/>
              <w:left w:val="nil"/>
              <w:bottom w:val="nil"/>
              <w:right w:val="nil"/>
            </w:tcBorders>
            <w:shd w:val="clear" w:color="auto" w:fill="auto"/>
            <w:noWrap/>
            <w:vAlign w:val="center"/>
            <w:hideMark/>
          </w:tcPr>
          <w:p w14:paraId="5DDC8211"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6F76BAB0"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1365D76E" w14:textId="77777777" w:rsidTr="00A90637">
        <w:trPr>
          <w:trHeight w:val="165"/>
        </w:trPr>
        <w:tc>
          <w:tcPr>
            <w:tcW w:w="4150" w:type="dxa"/>
            <w:tcBorders>
              <w:top w:val="nil"/>
              <w:left w:val="nil"/>
              <w:bottom w:val="nil"/>
              <w:right w:val="nil"/>
            </w:tcBorders>
            <w:shd w:val="clear" w:color="auto" w:fill="auto"/>
            <w:noWrap/>
            <w:vAlign w:val="center"/>
            <w:hideMark/>
          </w:tcPr>
          <w:p w14:paraId="3F02653E"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69" w:type="dxa"/>
            <w:tcBorders>
              <w:top w:val="nil"/>
              <w:left w:val="nil"/>
              <w:bottom w:val="nil"/>
              <w:right w:val="nil"/>
            </w:tcBorders>
            <w:shd w:val="clear" w:color="auto" w:fill="auto"/>
            <w:noWrap/>
            <w:vAlign w:val="center"/>
            <w:hideMark/>
          </w:tcPr>
          <w:p w14:paraId="59F2C39A"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5146E11B"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2736B3CF"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789CCE5C"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32A5882C"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320D8B2D" w14:textId="77777777" w:rsidTr="00A90637">
        <w:trPr>
          <w:trHeight w:val="315"/>
        </w:trPr>
        <w:tc>
          <w:tcPr>
            <w:tcW w:w="4150" w:type="dxa"/>
            <w:tcBorders>
              <w:top w:val="nil"/>
              <w:left w:val="nil"/>
              <w:bottom w:val="single" w:sz="4" w:space="0" w:color="BFBFBF"/>
              <w:right w:val="nil"/>
            </w:tcBorders>
            <w:shd w:val="clear" w:color="auto" w:fill="auto"/>
            <w:noWrap/>
            <w:vAlign w:val="center"/>
            <w:hideMark/>
          </w:tcPr>
          <w:p w14:paraId="45064976" w14:textId="77777777" w:rsidR="00A90637" w:rsidRPr="00A90637" w:rsidRDefault="00A90637" w:rsidP="00A90637">
            <w:pPr>
              <w:spacing w:line="240" w:lineRule="auto"/>
              <w:jc w:val="left"/>
              <w:rPr>
                <w:rFonts w:ascii="Calibri" w:eastAsia="Times New Roman" w:hAnsi="Calibri" w:cs="Calibri"/>
                <w:b/>
                <w:bCs/>
                <w:sz w:val="24"/>
                <w:szCs w:val="24"/>
                <w:lang w:eastAsia="en-GB"/>
              </w:rPr>
            </w:pPr>
            <w:r w:rsidRPr="00A90637">
              <w:rPr>
                <w:rFonts w:ascii="Calibri" w:eastAsia="Times New Roman" w:hAnsi="Calibri" w:cs="Calibri"/>
                <w:b/>
                <w:bCs/>
                <w:sz w:val="24"/>
                <w:szCs w:val="24"/>
                <w:lang w:eastAsia="en-GB"/>
              </w:rPr>
              <w:t>Green Infrastructure</w:t>
            </w:r>
          </w:p>
        </w:tc>
        <w:tc>
          <w:tcPr>
            <w:tcW w:w="1169" w:type="dxa"/>
            <w:tcBorders>
              <w:top w:val="nil"/>
              <w:left w:val="nil"/>
              <w:bottom w:val="nil"/>
              <w:right w:val="nil"/>
            </w:tcBorders>
            <w:shd w:val="clear" w:color="auto" w:fill="auto"/>
            <w:noWrap/>
            <w:vAlign w:val="center"/>
            <w:hideMark/>
          </w:tcPr>
          <w:p w14:paraId="1D3D1E0B" w14:textId="77777777" w:rsidR="00A90637" w:rsidRPr="00A90637" w:rsidRDefault="00A90637" w:rsidP="00A90637">
            <w:pPr>
              <w:spacing w:line="240" w:lineRule="auto"/>
              <w:jc w:val="left"/>
              <w:rPr>
                <w:rFonts w:ascii="Calibri" w:eastAsia="Times New Roman" w:hAnsi="Calibri" w:cs="Calibri"/>
                <w:b/>
                <w:bCs/>
                <w:sz w:val="24"/>
                <w:szCs w:val="24"/>
                <w:lang w:eastAsia="en-GB"/>
              </w:rPr>
            </w:pPr>
          </w:p>
        </w:tc>
        <w:tc>
          <w:tcPr>
            <w:tcW w:w="1170" w:type="dxa"/>
            <w:tcBorders>
              <w:top w:val="nil"/>
              <w:left w:val="nil"/>
              <w:bottom w:val="nil"/>
              <w:right w:val="nil"/>
            </w:tcBorders>
            <w:shd w:val="clear" w:color="auto" w:fill="auto"/>
            <w:noWrap/>
            <w:vAlign w:val="center"/>
            <w:hideMark/>
          </w:tcPr>
          <w:p w14:paraId="4CB64E3B"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08E41D28"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323F3457"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3DC7B8E9"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07333E58" w14:textId="77777777" w:rsidTr="00A90637">
        <w:trPr>
          <w:trHeight w:val="375"/>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4CA11098"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Bridleway in western Leyland</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A06697D"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21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4309CB2F"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69C49DB1"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36E2846A"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BFBFBF"/>
              <w:left w:val="nil"/>
              <w:bottom w:val="single" w:sz="4" w:space="0" w:color="BFBFBF"/>
              <w:right w:val="single" w:sz="4" w:space="0" w:color="BFBFBF"/>
            </w:tcBorders>
            <w:shd w:val="clear" w:color="auto" w:fill="auto"/>
            <w:noWrap/>
            <w:vAlign w:val="center"/>
            <w:hideMark/>
          </w:tcPr>
          <w:p w14:paraId="2AFEACAD"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21 </w:t>
            </w:r>
          </w:p>
        </w:tc>
      </w:tr>
      <w:tr w:rsidR="00A90637" w:rsidRPr="00A90637" w14:paraId="37723232" w14:textId="77777777" w:rsidTr="00A90637">
        <w:trPr>
          <w:trHeight w:val="420"/>
        </w:trPr>
        <w:tc>
          <w:tcPr>
            <w:tcW w:w="4150" w:type="dxa"/>
            <w:tcBorders>
              <w:top w:val="single" w:sz="4" w:space="0" w:color="auto"/>
              <w:left w:val="single" w:sz="4" w:space="0" w:color="BFBFBF"/>
              <w:bottom w:val="single" w:sz="4" w:space="0" w:color="auto"/>
              <w:right w:val="single" w:sz="4" w:space="0" w:color="BFBFBF"/>
            </w:tcBorders>
            <w:shd w:val="clear" w:color="000000" w:fill="D9D9D9"/>
            <w:vAlign w:val="center"/>
            <w:hideMark/>
          </w:tcPr>
          <w:p w14:paraId="53EB731C"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Green Infrastructure Total</w:t>
            </w:r>
          </w:p>
        </w:tc>
        <w:tc>
          <w:tcPr>
            <w:tcW w:w="1169" w:type="dxa"/>
            <w:tcBorders>
              <w:top w:val="single" w:sz="4" w:space="0" w:color="auto"/>
              <w:left w:val="nil"/>
              <w:bottom w:val="single" w:sz="4" w:space="0" w:color="auto"/>
              <w:right w:val="single" w:sz="4" w:space="0" w:color="BFBFBF"/>
            </w:tcBorders>
            <w:shd w:val="clear" w:color="000000" w:fill="D9D9D9"/>
            <w:noWrap/>
            <w:vAlign w:val="center"/>
            <w:hideMark/>
          </w:tcPr>
          <w:p w14:paraId="0AABDB68"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21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7E0CDD46"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4E91C4FC"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493EC971"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auto"/>
              <w:left w:val="nil"/>
              <w:bottom w:val="single" w:sz="4" w:space="0" w:color="auto"/>
              <w:right w:val="single" w:sz="4" w:space="0" w:color="BFBFBF"/>
            </w:tcBorders>
            <w:shd w:val="clear" w:color="000000" w:fill="D9D9D9"/>
            <w:noWrap/>
            <w:vAlign w:val="center"/>
            <w:hideMark/>
          </w:tcPr>
          <w:p w14:paraId="08C2E259"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21 </w:t>
            </w:r>
          </w:p>
        </w:tc>
      </w:tr>
      <w:tr w:rsidR="00A90637" w:rsidRPr="00A90637" w14:paraId="799BAF9E" w14:textId="77777777" w:rsidTr="00A90637">
        <w:trPr>
          <w:trHeight w:val="165"/>
        </w:trPr>
        <w:tc>
          <w:tcPr>
            <w:tcW w:w="4150" w:type="dxa"/>
            <w:tcBorders>
              <w:top w:val="nil"/>
              <w:left w:val="nil"/>
              <w:bottom w:val="nil"/>
              <w:right w:val="nil"/>
            </w:tcBorders>
            <w:shd w:val="clear" w:color="auto" w:fill="auto"/>
            <w:noWrap/>
            <w:vAlign w:val="center"/>
            <w:hideMark/>
          </w:tcPr>
          <w:p w14:paraId="32FC750B" w14:textId="77777777" w:rsidR="00A90637" w:rsidRPr="00A90637" w:rsidRDefault="00A90637" w:rsidP="00A90637">
            <w:pPr>
              <w:spacing w:line="240" w:lineRule="auto"/>
              <w:jc w:val="right"/>
              <w:rPr>
                <w:rFonts w:ascii="Calibri" w:eastAsia="Times New Roman" w:hAnsi="Calibri" w:cs="Calibri"/>
                <w:lang w:eastAsia="en-GB"/>
              </w:rPr>
            </w:pPr>
          </w:p>
        </w:tc>
        <w:tc>
          <w:tcPr>
            <w:tcW w:w="1169" w:type="dxa"/>
            <w:tcBorders>
              <w:top w:val="nil"/>
              <w:left w:val="nil"/>
              <w:bottom w:val="nil"/>
              <w:right w:val="nil"/>
            </w:tcBorders>
            <w:shd w:val="clear" w:color="auto" w:fill="auto"/>
            <w:noWrap/>
            <w:vAlign w:val="center"/>
            <w:hideMark/>
          </w:tcPr>
          <w:p w14:paraId="1A22E869"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483ACD93"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2ED5A8B"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36B74DAE"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312BD51E"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38A9CF33" w14:textId="77777777" w:rsidTr="00A90637">
        <w:trPr>
          <w:trHeight w:val="315"/>
        </w:trPr>
        <w:tc>
          <w:tcPr>
            <w:tcW w:w="4150" w:type="dxa"/>
            <w:tcBorders>
              <w:top w:val="nil"/>
              <w:left w:val="nil"/>
              <w:bottom w:val="single" w:sz="4" w:space="0" w:color="BFBFBF"/>
              <w:right w:val="nil"/>
            </w:tcBorders>
            <w:shd w:val="clear" w:color="auto" w:fill="auto"/>
            <w:noWrap/>
            <w:vAlign w:val="center"/>
            <w:hideMark/>
          </w:tcPr>
          <w:p w14:paraId="64AD4ACA" w14:textId="77777777" w:rsidR="00A90637" w:rsidRPr="00A90637" w:rsidRDefault="00A90637" w:rsidP="00A90637">
            <w:pPr>
              <w:spacing w:line="240" w:lineRule="auto"/>
              <w:jc w:val="left"/>
              <w:rPr>
                <w:rFonts w:ascii="Calibri" w:eastAsia="Times New Roman" w:hAnsi="Calibri" w:cs="Calibri"/>
                <w:b/>
                <w:bCs/>
                <w:sz w:val="24"/>
                <w:szCs w:val="24"/>
                <w:lang w:eastAsia="en-GB"/>
              </w:rPr>
            </w:pPr>
            <w:r w:rsidRPr="00A90637">
              <w:rPr>
                <w:rFonts w:ascii="Calibri" w:eastAsia="Times New Roman" w:hAnsi="Calibri" w:cs="Calibri"/>
                <w:b/>
                <w:bCs/>
                <w:sz w:val="24"/>
                <w:szCs w:val="24"/>
                <w:lang w:eastAsia="en-GB"/>
              </w:rPr>
              <w:t>Other Parks and Open Spaces</w:t>
            </w:r>
          </w:p>
        </w:tc>
        <w:tc>
          <w:tcPr>
            <w:tcW w:w="1169" w:type="dxa"/>
            <w:tcBorders>
              <w:top w:val="nil"/>
              <w:left w:val="nil"/>
              <w:bottom w:val="nil"/>
              <w:right w:val="nil"/>
            </w:tcBorders>
            <w:shd w:val="clear" w:color="auto" w:fill="auto"/>
            <w:noWrap/>
            <w:vAlign w:val="center"/>
            <w:hideMark/>
          </w:tcPr>
          <w:p w14:paraId="671B141A" w14:textId="77777777" w:rsidR="00A90637" w:rsidRPr="00A90637" w:rsidRDefault="00A90637" w:rsidP="00A90637">
            <w:pPr>
              <w:spacing w:line="240" w:lineRule="auto"/>
              <w:jc w:val="left"/>
              <w:rPr>
                <w:rFonts w:ascii="Calibri" w:eastAsia="Times New Roman" w:hAnsi="Calibri" w:cs="Calibri"/>
                <w:b/>
                <w:bCs/>
                <w:sz w:val="24"/>
                <w:szCs w:val="24"/>
                <w:lang w:eastAsia="en-GB"/>
              </w:rPr>
            </w:pPr>
          </w:p>
        </w:tc>
        <w:tc>
          <w:tcPr>
            <w:tcW w:w="1170" w:type="dxa"/>
            <w:tcBorders>
              <w:top w:val="nil"/>
              <w:left w:val="nil"/>
              <w:bottom w:val="nil"/>
              <w:right w:val="nil"/>
            </w:tcBorders>
            <w:shd w:val="clear" w:color="auto" w:fill="auto"/>
            <w:noWrap/>
            <w:vAlign w:val="center"/>
            <w:hideMark/>
          </w:tcPr>
          <w:p w14:paraId="14DF18CB"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4DC6D413"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5FC2BCCF"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4CD23E38"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1BE811F6" w14:textId="77777777" w:rsidTr="00A90637">
        <w:trPr>
          <w:trHeight w:val="375"/>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657E9DBC"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Open Spaces - Bent Lane</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457616B4"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61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5E51D65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04980D51"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584383C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BFBFBF"/>
              <w:left w:val="nil"/>
              <w:bottom w:val="single" w:sz="4" w:space="0" w:color="BFBFBF"/>
              <w:right w:val="single" w:sz="4" w:space="0" w:color="BFBFBF"/>
            </w:tcBorders>
            <w:shd w:val="clear" w:color="auto" w:fill="auto"/>
            <w:noWrap/>
            <w:vAlign w:val="center"/>
            <w:hideMark/>
          </w:tcPr>
          <w:p w14:paraId="3122B78B"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61 </w:t>
            </w:r>
          </w:p>
        </w:tc>
      </w:tr>
      <w:tr w:rsidR="00A90637" w:rsidRPr="00A90637" w14:paraId="3EA25B74" w14:textId="77777777" w:rsidTr="00A90637">
        <w:trPr>
          <w:trHeight w:val="375"/>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3105C244"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Playground - Haig Avenue</w:t>
            </w:r>
          </w:p>
        </w:tc>
        <w:tc>
          <w:tcPr>
            <w:tcW w:w="1169" w:type="dxa"/>
            <w:tcBorders>
              <w:top w:val="nil"/>
              <w:left w:val="nil"/>
              <w:bottom w:val="single" w:sz="4" w:space="0" w:color="BFBFBF"/>
              <w:right w:val="single" w:sz="4" w:space="0" w:color="BFBFBF"/>
            </w:tcBorders>
            <w:shd w:val="clear" w:color="auto" w:fill="auto"/>
            <w:noWrap/>
            <w:vAlign w:val="center"/>
            <w:hideMark/>
          </w:tcPr>
          <w:p w14:paraId="44FA718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175 </w:t>
            </w:r>
          </w:p>
        </w:tc>
        <w:tc>
          <w:tcPr>
            <w:tcW w:w="1170" w:type="dxa"/>
            <w:tcBorders>
              <w:top w:val="nil"/>
              <w:left w:val="nil"/>
              <w:bottom w:val="single" w:sz="4" w:space="0" w:color="BFBFBF"/>
              <w:right w:val="single" w:sz="4" w:space="0" w:color="BFBFBF"/>
            </w:tcBorders>
            <w:shd w:val="clear" w:color="auto" w:fill="auto"/>
            <w:noWrap/>
            <w:vAlign w:val="center"/>
            <w:hideMark/>
          </w:tcPr>
          <w:p w14:paraId="56E17B04"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23392CC9"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6377D6CF"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0778C175"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175 </w:t>
            </w:r>
          </w:p>
        </w:tc>
      </w:tr>
      <w:tr w:rsidR="00A90637" w:rsidRPr="00A90637" w14:paraId="5E0ABC20" w14:textId="77777777" w:rsidTr="00A90637">
        <w:trPr>
          <w:trHeight w:val="600"/>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759B4296"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Playground - Birch Avenue, Penwortham</w:t>
            </w:r>
          </w:p>
        </w:tc>
        <w:tc>
          <w:tcPr>
            <w:tcW w:w="1169" w:type="dxa"/>
            <w:tcBorders>
              <w:top w:val="nil"/>
              <w:left w:val="nil"/>
              <w:bottom w:val="single" w:sz="4" w:space="0" w:color="BFBFBF"/>
              <w:right w:val="single" w:sz="4" w:space="0" w:color="BFBFBF"/>
            </w:tcBorders>
            <w:shd w:val="clear" w:color="auto" w:fill="auto"/>
            <w:noWrap/>
            <w:vAlign w:val="center"/>
            <w:hideMark/>
          </w:tcPr>
          <w:p w14:paraId="60565F57"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6C946757"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13 </w:t>
            </w:r>
          </w:p>
        </w:tc>
        <w:tc>
          <w:tcPr>
            <w:tcW w:w="1170" w:type="dxa"/>
            <w:tcBorders>
              <w:top w:val="nil"/>
              <w:left w:val="nil"/>
              <w:bottom w:val="single" w:sz="4" w:space="0" w:color="BFBFBF"/>
              <w:right w:val="single" w:sz="4" w:space="0" w:color="BFBFBF"/>
            </w:tcBorders>
            <w:shd w:val="clear" w:color="auto" w:fill="auto"/>
            <w:noWrap/>
            <w:vAlign w:val="center"/>
            <w:hideMark/>
          </w:tcPr>
          <w:p w14:paraId="144D7389"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7A561D37"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54ABCE00"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13 </w:t>
            </w:r>
          </w:p>
        </w:tc>
      </w:tr>
      <w:tr w:rsidR="00A90637" w:rsidRPr="00A90637" w14:paraId="4D9EC5E5" w14:textId="77777777" w:rsidTr="00A90637">
        <w:trPr>
          <w:trHeight w:val="375"/>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5CE00791"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Playground - Hutton</w:t>
            </w:r>
          </w:p>
        </w:tc>
        <w:tc>
          <w:tcPr>
            <w:tcW w:w="1169" w:type="dxa"/>
            <w:tcBorders>
              <w:top w:val="nil"/>
              <w:left w:val="nil"/>
              <w:bottom w:val="single" w:sz="4" w:space="0" w:color="BFBFBF"/>
              <w:right w:val="single" w:sz="4" w:space="0" w:color="BFBFBF"/>
            </w:tcBorders>
            <w:shd w:val="clear" w:color="auto" w:fill="auto"/>
            <w:noWrap/>
            <w:vAlign w:val="center"/>
            <w:hideMark/>
          </w:tcPr>
          <w:p w14:paraId="198F2DC1"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24DB040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82 </w:t>
            </w:r>
          </w:p>
        </w:tc>
        <w:tc>
          <w:tcPr>
            <w:tcW w:w="1170" w:type="dxa"/>
            <w:tcBorders>
              <w:top w:val="nil"/>
              <w:left w:val="nil"/>
              <w:bottom w:val="single" w:sz="4" w:space="0" w:color="BFBFBF"/>
              <w:right w:val="single" w:sz="4" w:space="0" w:color="BFBFBF"/>
            </w:tcBorders>
            <w:shd w:val="clear" w:color="auto" w:fill="auto"/>
            <w:noWrap/>
            <w:vAlign w:val="center"/>
            <w:hideMark/>
          </w:tcPr>
          <w:p w14:paraId="013756BF"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43077FB4"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11BAFD94"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82 </w:t>
            </w:r>
          </w:p>
        </w:tc>
      </w:tr>
      <w:tr w:rsidR="00A90637" w:rsidRPr="00A90637" w14:paraId="43D2B8F4" w14:textId="77777777" w:rsidTr="00A90637">
        <w:trPr>
          <w:trHeight w:val="375"/>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5F1AC5B2"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Parks - Smaller parks and play areas</w:t>
            </w:r>
          </w:p>
        </w:tc>
        <w:tc>
          <w:tcPr>
            <w:tcW w:w="1169" w:type="dxa"/>
            <w:tcBorders>
              <w:top w:val="nil"/>
              <w:left w:val="nil"/>
              <w:bottom w:val="single" w:sz="4" w:space="0" w:color="BFBFBF"/>
              <w:right w:val="single" w:sz="4" w:space="0" w:color="BFBFBF"/>
            </w:tcBorders>
            <w:shd w:val="clear" w:color="auto" w:fill="auto"/>
            <w:noWrap/>
            <w:vAlign w:val="center"/>
            <w:hideMark/>
          </w:tcPr>
          <w:p w14:paraId="211F1FE6"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4217730D"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64 </w:t>
            </w:r>
          </w:p>
        </w:tc>
        <w:tc>
          <w:tcPr>
            <w:tcW w:w="1170" w:type="dxa"/>
            <w:tcBorders>
              <w:top w:val="nil"/>
              <w:left w:val="nil"/>
              <w:bottom w:val="single" w:sz="4" w:space="0" w:color="BFBFBF"/>
              <w:right w:val="single" w:sz="4" w:space="0" w:color="BFBFBF"/>
            </w:tcBorders>
            <w:shd w:val="clear" w:color="auto" w:fill="auto"/>
            <w:noWrap/>
            <w:vAlign w:val="center"/>
            <w:hideMark/>
          </w:tcPr>
          <w:p w14:paraId="18A591EA"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22DB8FD5"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5C299F57"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64 </w:t>
            </w:r>
          </w:p>
        </w:tc>
      </w:tr>
      <w:tr w:rsidR="00A90637" w:rsidRPr="00A90637" w14:paraId="2F41AE8C" w14:textId="77777777" w:rsidTr="00A90637">
        <w:trPr>
          <w:trHeight w:val="375"/>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060E3525"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A tree for every resident</w:t>
            </w:r>
          </w:p>
        </w:tc>
        <w:tc>
          <w:tcPr>
            <w:tcW w:w="1169" w:type="dxa"/>
            <w:tcBorders>
              <w:top w:val="nil"/>
              <w:left w:val="nil"/>
              <w:bottom w:val="single" w:sz="4" w:space="0" w:color="BFBFBF"/>
              <w:right w:val="single" w:sz="4" w:space="0" w:color="BFBFBF"/>
            </w:tcBorders>
            <w:shd w:val="clear" w:color="auto" w:fill="auto"/>
            <w:noWrap/>
            <w:vAlign w:val="center"/>
            <w:hideMark/>
          </w:tcPr>
          <w:p w14:paraId="6A199160"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30 </w:t>
            </w:r>
          </w:p>
        </w:tc>
        <w:tc>
          <w:tcPr>
            <w:tcW w:w="1170" w:type="dxa"/>
            <w:tcBorders>
              <w:top w:val="nil"/>
              <w:left w:val="nil"/>
              <w:bottom w:val="single" w:sz="4" w:space="0" w:color="BFBFBF"/>
              <w:right w:val="single" w:sz="4" w:space="0" w:color="BFBFBF"/>
            </w:tcBorders>
            <w:shd w:val="clear" w:color="auto" w:fill="auto"/>
            <w:noWrap/>
            <w:vAlign w:val="center"/>
            <w:hideMark/>
          </w:tcPr>
          <w:p w14:paraId="71EAEDE8"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30 </w:t>
            </w:r>
          </w:p>
        </w:tc>
        <w:tc>
          <w:tcPr>
            <w:tcW w:w="1170" w:type="dxa"/>
            <w:tcBorders>
              <w:top w:val="nil"/>
              <w:left w:val="nil"/>
              <w:bottom w:val="single" w:sz="4" w:space="0" w:color="BFBFBF"/>
              <w:right w:val="single" w:sz="4" w:space="0" w:color="BFBFBF"/>
            </w:tcBorders>
            <w:shd w:val="clear" w:color="auto" w:fill="auto"/>
            <w:noWrap/>
            <w:vAlign w:val="center"/>
            <w:hideMark/>
          </w:tcPr>
          <w:p w14:paraId="5CB5DBE9"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47C25296"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04E70F46"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60 </w:t>
            </w:r>
          </w:p>
        </w:tc>
      </w:tr>
      <w:tr w:rsidR="00A90637" w:rsidRPr="00A90637" w14:paraId="3A992285" w14:textId="77777777" w:rsidTr="00A90637">
        <w:trPr>
          <w:trHeight w:val="420"/>
        </w:trPr>
        <w:tc>
          <w:tcPr>
            <w:tcW w:w="4150" w:type="dxa"/>
            <w:tcBorders>
              <w:top w:val="single" w:sz="4" w:space="0" w:color="auto"/>
              <w:left w:val="single" w:sz="4" w:space="0" w:color="BFBFBF"/>
              <w:bottom w:val="single" w:sz="4" w:space="0" w:color="auto"/>
              <w:right w:val="single" w:sz="4" w:space="0" w:color="BFBFBF"/>
            </w:tcBorders>
            <w:shd w:val="clear" w:color="000000" w:fill="D9D9D9"/>
            <w:vAlign w:val="center"/>
            <w:hideMark/>
          </w:tcPr>
          <w:p w14:paraId="05D1FA98"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Other Parks and Open Spaces Total</w:t>
            </w:r>
          </w:p>
        </w:tc>
        <w:tc>
          <w:tcPr>
            <w:tcW w:w="1169" w:type="dxa"/>
            <w:tcBorders>
              <w:top w:val="single" w:sz="4" w:space="0" w:color="auto"/>
              <w:left w:val="nil"/>
              <w:bottom w:val="single" w:sz="4" w:space="0" w:color="auto"/>
              <w:right w:val="single" w:sz="4" w:space="0" w:color="BFBFBF"/>
            </w:tcBorders>
            <w:shd w:val="clear" w:color="000000" w:fill="D9D9D9"/>
            <w:noWrap/>
            <w:vAlign w:val="center"/>
            <w:hideMark/>
          </w:tcPr>
          <w:p w14:paraId="63874281"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266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570F2BEC"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189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7C14ED80"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49E82F80"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auto"/>
              <w:left w:val="nil"/>
              <w:bottom w:val="single" w:sz="4" w:space="0" w:color="auto"/>
              <w:right w:val="single" w:sz="4" w:space="0" w:color="BFBFBF"/>
            </w:tcBorders>
            <w:shd w:val="clear" w:color="000000" w:fill="D9D9D9"/>
            <w:noWrap/>
            <w:vAlign w:val="center"/>
            <w:hideMark/>
          </w:tcPr>
          <w:p w14:paraId="6B731FD5"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455 </w:t>
            </w:r>
          </w:p>
        </w:tc>
      </w:tr>
      <w:tr w:rsidR="00A90637" w:rsidRPr="00A90637" w14:paraId="56AEBA51" w14:textId="77777777" w:rsidTr="00A90637">
        <w:trPr>
          <w:trHeight w:val="165"/>
        </w:trPr>
        <w:tc>
          <w:tcPr>
            <w:tcW w:w="4150" w:type="dxa"/>
            <w:tcBorders>
              <w:top w:val="nil"/>
              <w:left w:val="nil"/>
              <w:bottom w:val="nil"/>
              <w:right w:val="nil"/>
            </w:tcBorders>
            <w:shd w:val="clear" w:color="auto" w:fill="auto"/>
            <w:noWrap/>
            <w:vAlign w:val="center"/>
            <w:hideMark/>
          </w:tcPr>
          <w:p w14:paraId="1FCE10C6" w14:textId="77777777" w:rsidR="00A90637" w:rsidRPr="00A90637" w:rsidRDefault="00A90637" w:rsidP="00A90637">
            <w:pPr>
              <w:spacing w:line="240" w:lineRule="auto"/>
              <w:jc w:val="right"/>
              <w:rPr>
                <w:rFonts w:ascii="Calibri" w:eastAsia="Times New Roman" w:hAnsi="Calibri" w:cs="Calibri"/>
                <w:lang w:eastAsia="en-GB"/>
              </w:rPr>
            </w:pPr>
          </w:p>
        </w:tc>
        <w:tc>
          <w:tcPr>
            <w:tcW w:w="1169" w:type="dxa"/>
            <w:tcBorders>
              <w:top w:val="nil"/>
              <w:left w:val="nil"/>
              <w:bottom w:val="nil"/>
              <w:right w:val="nil"/>
            </w:tcBorders>
            <w:shd w:val="clear" w:color="auto" w:fill="auto"/>
            <w:noWrap/>
            <w:vAlign w:val="center"/>
            <w:hideMark/>
          </w:tcPr>
          <w:p w14:paraId="3F664835"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51ECEFA5"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09B27758"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E991BC0"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72CA51BD"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02D9F154" w14:textId="77777777" w:rsidTr="00A90637">
        <w:trPr>
          <w:trHeight w:val="315"/>
        </w:trPr>
        <w:tc>
          <w:tcPr>
            <w:tcW w:w="4150" w:type="dxa"/>
            <w:tcBorders>
              <w:top w:val="nil"/>
              <w:left w:val="nil"/>
              <w:bottom w:val="single" w:sz="4" w:space="0" w:color="BFBFBF"/>
              <w:right w:val="nil"/>
            </w:tcBorders>
            <w:shd w:val="clear" w:color="auto" w:fill="auto"/>
            <w:noWrap/>
            <w:vAlign w:val="center"/>
            <w:hideMark/>
          </w:tcPr>
          <w:p w14:paraId="082E9C9B" w14:textId="77777777" w:rsidR="00A90637" w:rsidRPr="00A90637" w:rsidRDefault="00A90637" w:rsidP="00A90637">
            <w:pPr>
              <w:spacing w:line="240" w:lineRule="auto"/>
              <w:jc w:val="left"/>
              <w:rPr>
                <w:rFonts w:ascii="Calibri" w:eastAsia="Times New Roman" w:hAnsi="Calibri" w:cs="Calibri"/>
                <w:b/>
                <w:bCs/>
                <w:sz w:val="24"/>
                <w:szCs w:val="24"/>
                <w:lang w:eastAsia="en-GB"/>
              </w:rPr>
            </w:pPr>
            <w:r w:rsidRPr="00A90637">
              <w:rPr>
                <w:rFonts w:ascii="Calibri" w:eastAsia="Times New Roman" w:hAnsi="Calibri" w:cs="Calibri"/>
                <w:b/>
                <w:bCs/>
                <w:sz w:val="24"/>
                <w:szCs w:val="24"/>
                <w:lang w:eastAsia="en-GB"/>
              </w:rPr>
              <w:t>Sports and Leisure</w:t>
            </w:r>
          </w:p>
        </w:tc>
        <w:tc>
          <w:tcPr>
            <w:tcW w:w="1169" w:type="dxa"/>
            <w:tcBorders>
              <w:top w:val="nil"/>
              <w:left w:val="nil"/>
              <w:bottom w:val="nil"/>
              <w:right w:val="nil"/>
            </w:tcBorders>
            <w:shd w:val="clear" w:color="auto" w:fill="auto"/>
            <w:noWrap/>
            <w:vAlign w:val="center"/>
            <w:hideMark/>
          </w:tcPr>
          <w:p w14:paraId="7F3A9E5A" w14:textId="77777777" w:rsidR="00A90637" w:rsidRPr="00A90637" w:rsidRDefault="00A90637" w:rsidP="00A90637">
            <w:pPr>
              <w:spacing w:line="240" w:lineRule="auto"/>
              <w:jc w:val="left"/>
              <w:rPr>
                <w:rFonts w:ascii="Calibri" w:eastAsia="Times New Roman" w:hAnsi="Calibri" w:cs="Calibri"/>
                <w:b/>
                <w:bCs/>
                <w:sz w:val="24"/>
                <w:szCs w:val="24"/>
                <w:lang w:eastAsia="en-GB"/>
              </w:rPr>
            </w:pPr>
          </w:p>
        </w:tc>
        <w:tc>
          <w:tcPr>
            <w:tcW w:w="1170" w:type="dxa"/>
            <w:tcBorders>
              <w:top w:val="nil"/>
              <w:left w:val="nil"/>
              <w:bottom w:val="nil"/>
              <w:right w:val="nil"/>
            </w:tcBorders>
            <w:shd w:val="clear" w:color="auto" w:fill="auto"/>
            <w:noWrap/>
            <w:vAlign w:val="center"/>
            <w:hideMark/>
          </w:tcPr>
          <w:p w14:paraId="06D9DDCE"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6F1EEC18"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05440C5"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0B457659"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1922F946" w14:textId="77777777" w:rsidTr="00A90637">
        <w:trPr>
          <w:trHeight w:val="600"/>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7E0BD171"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King George V Playing Fields, Higher Walton</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266EE985"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19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08015B7A"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371F07BA"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3C782B16"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BFBFBF"/>
              <w:left w:val="nil"/>
              <w:bottom w:val="single" w:sz="4" w:space="0" w:color="BFBFBF"/>
              <w:right w:val="single" w:sz="4" w:space="0" w:color="BFBFBF"/>
            </w:tcBorders>
            <w:shd w:val="clear" w:color="auto" w:fill="auto"/>
            <w:noWrap/>
            <w:vAlign w:val="center"/>
            <w:hideMark/>
          </w:tcPr>
          <w:p w14:paraId="6919AD87"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19 </w:t>
            </w:r>
          </w:p>
        </w:tc>
      </w:tr>
      <w:tr w:rsidR="00A90637" w:rsidRPr="00A90637" w14:paraId="6C260102" w14:textId="77777777" w:rsidTr="00A90637">
        <w:trPr>
          <w:trHeight w:val="600"/>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6DC1B51D"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King George V Playing Fields, Higher Walton Additional works</w:t>
            </w:r>
          </w:p>
        </w:tc>
        <w:tc>
          <w:tcPr>
            <w:tcW w:w="1169" w:type="dxa"/>
            <w:tcBorders>
              <w:top w:val="nil"/>
              <w:left w:val="nil"/>
              <w:bottom w:val="single" w:sz="4" w:space="0" w:color="BFBFBF"/>
              <w:right w:val="single" w:sz="4" w:space="0" w:color="BFBFBF"/>
            </w:tcBorders>
            <w:shd w:val="clear" w:color="auto" w:fill="auto"/>
            <w:noWrap/>
            <w:vAlign w:val="center"/>
            <w:hideMark/>
          </w:tcPr>
          <w:p w14:paraId="3B4E0CB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3C4A0FE9"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25 </w:t>
            </w:r>
          </w:p>
        </w:tc>
        <w:tc>
          <w:tcPr>
            <w:tcW w:w="1170" w:type="dxa"/>
            <w:tcBorders>
              <w:top w:val="nil"/>
              <w:left w:val="nil"/>
              <w:bottom w:val="single" w:sz="4" w:space="0" w:color="BFBFBF"/>
              <w:right w:val="single" w:sz="4" w:space="0" w:color="BFBFBF"/>
            </w:tcBorders>
            <w:shd w:val="clear" w:color="auto" w:fill="auto"/>
            <w:noWrap/>
            <w:vAlign w:val="center"/>
            <w:hideMark/>
          </w:tcPr>
          <w:p w14:paraId="0051322B"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45FE4AE7"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478C4AFF"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25 </w:t>
            </w:r>
          </w:p>
        </w:tc>
      </w:tr>
      <w:tr w:rsidR="00A90637" w:rsidRPr="00A90637" w14:paraId="17C1C280" w14:textId="77777777" w:rsidTr="00A90637">
        <w:trPr>
          <w:trHeight w:val="600"/>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0901AAE8"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lastRenderedPageBreak/>
              <w:t>Lostock Hall Football Facility (St Gerard's)</w:t>
            </w:r>
          </w:p>
        </w:tc>
        <w:tc>
          <w:tcPr>
            <w:tcW w:w="1169" w:type="dxa"/>
            <w:tcBorders>
              <w:top w:val="nil"/>
              <w:left w:val="nil"/>
              <w:bottom w:val="single" w:sz="4" w:space="0" w:color="BFBFBF"/>
              <w:right w:val="single" w:sz="4" w:space="0" w:color="BFBFBF"/>
            </w:tcBorders>
            <w:shd w:val="clear" w:color="auto" w:fill="auto"/>
            <w:noWrap/>
            <w:vAlign w:val="center"/>
            <w:hideMark/>
          </w:tcPr>
          <w:p w14:paraId="20063F74"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120 </w:t>
            </w:r>
          </w:p>
        </w:tc>
        <w:tc>
          <w:tcPr>
            <w:tcW w:w="1170" w:type="dxa"/>
            <w:tcBorders>
              <w:top w:val="nil"/>
              <w:left w:val="nil"/>
              <w:bottom w:val="single" w:sz="4" w:space="0" w:color="BFBFBF"/>
              <w:right w:val="single" w:sz="4" w:space="0" w:color="BFBFBF"/>
            </w:tcBorders>
            <w:shd w:val="clear" w:color="auto" w:fill="auto"/>
            <w:noWrap/>
            <w:vAlign w:val="center"/>
            <w:hideMark/>
          </w:tcPr>
          <w:p w14:paraId="2ABD0F52"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32018FE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00F9BBC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07A67421"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120 </w:t>
            </w:r>
          </w:p>
        </w:tc>
      </w:tr>
      <w:tr w:rsidR="00A90637" w:rsidRPr="00A90637" w14:paraId="70113EB6" w14:textId="77777777" w:rsidTr="00A90637">
        <w:trPr>
          <w:trHeight w:val="420"/>
        </w:trPr>
        <w:tc>
          <w:tcPr>
            <w:tcW w:w="4150" w:type="dxa"/>
            <w:tcBorders>
              <w:top w:val="single" w:sz="4" w:space="0" w:color="auto"/>
              <w:left w:val="single" w:sz="4" w:space="0" w:color="BFBFBF"/>
              <w:bottom w:val="single" w:sz="4" w:space="0" w:color="auto"/>
              <w:right w:val="single" w:sz="4" w:space="0" w:color="BFBFBF"/>
            </w:tcBorders>
            <w:shd w:val="clear" w:color="000000" w:fill="D9D9D9"/>
            <w:vAlign w:val="center"/>
            <w:hideMark/>
          </w:tcPr>
          <w:p w14:paraId="7F4F636D"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Sports and Leisure Total</w:t>
            </w:r>
          </w:p>
        </w:tc>
        <w:tc>
          <w:tcPr>
            <w:tcW w:w="1169" w:type="dxa"/>
            <w:tcBorders>
              <w:top w:val="single" w:sz="4" w:space="0" w:color="auto"/>
              <w:left w:val="nil"/>
              <w:bottom w:val="single" w:sz="4" w:space="0" w:color="auto"/>
              <w:right w:val="single" w:sz="4" w:space="0" w:color="BFBFBF"/>
            </w:tcBorders>
            <w:shd w:val="clear" w:color="000000" w:fill="D9D9D9"/>
            <w:noWrap/>
            <w:vAlign w:val="center"/>
            <w:hideMark/>
          </w:tcPr>
          <w:p w14:paraId="23A65AA0"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139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3FEF7E52"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25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61CDF398"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3506E5F6"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auto"/>
              <w:left w:val="nil"/>
              <w:bottom w:val="single" w:sz="4" w:space="0" w:color="auto"/>
              <w:right w:val="single" w:sz="4" w:space="0" w:color="BFBFBF"/>
            </w:tcBorders>
            <w:shd w:val="clear" w:color="000000" w:fill="D9D9D9"/>
            <w:noWrap/>
            <w:vAlign w:val="center"/>
            <w:hideMark/>
          </w:tcPr>
          <w:p w14:paraId="64B0DCB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164 </w:t>
            </w:r>
          </w:p>
        </w:tc>
      </w:tr>
      <w:tr w:rsidR="00A90637" w:rsidRPr="00A90637" w14:paraId="1B212EB1" w14:textId="77777777" w:rsidTr="00A90637">
        <w:trPr>
          <w:trHeight w:val="165"/>
        </w:trPr>
        <w:tc>
          <w:tcPr>
            <w:tcW w:w="4150" w:type="dxa"/>
            <w:tcBorders>
              <w:top w:val="nil"/>
              <w:left w:val="nil"/>
              <w:bottom w:val="nil"/>
              <w:right w:val="nil"/>
            </w:tcBorders>
            <w:shd w:val="clear" w:color="auto" w:fill="auto"/>
            <w:noWrap/>
            <w:vAlign w:val="center"/>
            <w:hideMark/>
          </w:tcPr>
          <w:p w14:paraId="609FB637" w14:textId="77777777" w:rsidR="00A90637" w:rsidRPr="00A90637" w:rsidRDefault="00A90637" w:rsidP="00A90637">
            <w:pPr>
              <w:spacing w:line="240" w:lineRule="auto"/>
              <w:jc w:val="right"/>
              <w:rPr>
                <w:rFonts w:ascii="Calibri" w:eastAsia="Times New Roman" w:hAnsi="Calibri" w:cs="Calibri"/>
                <w:lang w:eastAsia="en-GB"/>
              </w:rPr>
            </w:pPr>
          </w:p>
        </w:tc>
        <w:tc>
          <w:tcPr>
            <w:tcW w:w="1169" w:type="dxa"/>
            <w:tcBorders>
              <w:top w:val="nil"/>
              <w:left w:val="nil"/>
              <w:bottom w:val="nil"/>
              <w:right w:val="nil"/>
            </w:tcBorders>
            <w:shd w:val="clear" w:color="auto" w:fill="auto"/>
            <w:noWrap/>
            <w:vAlign w:val="center"/>
            <w:hideMark/>
          </w:tcPr>
          <w:p w14:paraId="6A1E3D9C"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252E7D83"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0391DD64"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0DE6EDCB"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6F3D3B84"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23F0178F" w14:textId="77777777" w:rsidTr="00A90637">
        <w:trPr>
          <w:trHeight w:val="315"/>
        </w:trPr>
        <w:tc>
          <w:tcPr>
            <w:tcW w:w="4150" w:type="dxa"/>
            <w:tcBorders>
              <w:top w:val="nil"/>
              <w:left w:val="nil"/>
              <w:bottom w:val="single" w:sz="4" w:space="0" w:color="BFBFBF"/>
              <w:right w:val="nil"/>
            </w:tcBorders>
            <w:shd w:val="clear" w:color="auto" w:fill="auto"/>
            <w:noWrap/>
            <w:vAlign w:val="center"/>
            <w:hideMark/>
          </w:tcPr>
          <w:p w14:paraId="6308F9F7" w14:textId="77777777" w:rsidR="00A90637" w:rsidRPr="00A90637" w:rsidRDefault="00A90637" w:rsidP="00A90637">
            <w:pPr>
              <w:spacing w:line="240" w:lineRule="auto"/>
              <w:jc w:val="left"/>
              <w:rPr>
                <w:rFonts w:ascii="Calibri" w:eastAsia="Times New Roman" w:hAnsi="Calibri" w:cs="Calibri"/>
                <w:b/>
                <w:bCs/>
                <w:sz w:val="24"/>
                <w:szCs w:val="24"/>
                <w:lang w:eastAsia="en-GB"/>
              </w:rPr>
            </w:pPr>
            <w:r w:rsidRPr="00A90637">
              <w:rPr>
                <w:rFonts w:ascii="Calibri" w:eastAsia="Times New Roman" w:hAnsi="Calibri" w:cs="Calibri"/>
                <w:b/>
                <w:bCs/>
                <w:sz w:val="24"/>
                <w:szCs w:val="24"/>
                <w:lang w:eastAsia="en-GB"/>
              </w:rPr>
              <w:t>Housing</w:t>
            </w:r>
          </w:p>
        </w:tc>
        <w:tc>
          <w:tcPr>
            <w:tcW w:w="1169" w:type="dxa"/>
            <w:tcBorders>
              <w:top w:val="nil"/>
              <w:left w:val="nil"/>
              <w:bottom w:val="nil"/>
              <w:right w:val="nil"/>
            </w:tcBorders>
            <w:shd w:val="clear" w:color="auto" w:fill="auto"/>
            <w:noWrap/>
            <w:vAlign w:val="center"/>
            <w:hideMark/>
          </w:tcPr>
          <w:p w14:paraId="6A6A6560" w14:textId="77777777" w:rsidR="00A90637" w:rsidRPr="00A90637" w:rsidRDefault="00A90637" w:rsidP="00A90637">
            <w:pPr>
              <w:spacing w:line="240" w:lineRule="auto"/>
              <w:jc w:val="left"/>
              <w:rPr>
                <w:rFonts w:ascii="Calibri" w:eastAsia="Times New Roman" w:hAnsi="Calibri" w:cs="Calibri"/>
                <w:b/>
                <w:bCs/>
                <w:sz w:val="24"/>
                <w:szCs w:val="24"/>
                <w:lang w:eastAsia="en-GB"/>
              </w:rPr>
            </w:pPr>
          </w:p>
        </w:tc>
        <w:tc>
          <w:tcPr>
            <w:tcW w:w="1170" w:type="dxa"/>
            <w:tcBorders>
              <w:top w:val="nil"/>
              <w:left w:val="nil"/>
              <w:bottom w:val="nil"/>
              <w:right w:val="nil"/>
            </w:tcBorders>
            <w:shd w:val="clear" w:color="auto" w:fill="auto"/>
            <w:noWrap/>
            <w:vAlign w:val="center"/>
            <w:hideMark/>
          </w:tcPr>
          <w:p w14:paraId="0EBFFC41"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763CFE0F"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CEB8B59"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134D9F97"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0C845927" w14:textId="77777777" w:rsidTr="00A90637">
        <w:trPr>
          <w:trHeight w:val="600"/>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4CC4892A"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Affordable Housing - former McKenzie Arms, Bamber Bridge</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2ACEDD49"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717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5D0C08D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1,531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31BD143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3DBCC36A"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BFBFBF"/>
              <w:left w:val="nil"/>
              <w:bottom w:val="single" w:sz="4" w:space="0" w:color="BFBFBF"/>
              <w:right w:val="single" w:sz="4" w:space="0" w:color="BFBFBF"/>
            </w:tcBorders>
            <w:shd w:val="clear" w:color="auto" w:fill="auto"/>
            <w:noWrap/>
            <w:vAlign w:val="center"/>
            <w:hideMark/>
          </w:tcPr>
          <w:p w14:paraId="0DA1A00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2,248 </w:t>
            </w:r>
          </w:p>
        </w:tc>
      </w:tr>
      <w:tr w:rsidR="00A90637" w:rsidRPr="00A90637" w14:paraId="6B403B3B" w14:textId="77777777" w:rsidTr="00A90637">
        <w:trPr>
          <w:trHeight w:val="600"/>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4C5CDA46"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Affordable Housing - Pearson House, Station Road, Bamber Bridge</w:t>
            </w:r>
          </w:p>
        </w:tc>
        <w:tc>
          <w:tcPr>
            <w:tcW w:w="1169" w:type="dxa"/>
            <w:tcBorders>
              <w:top w:val="nil"/>
              <w:left w:val="nil"/>
              <w:bottom w:val="single" w:sz="4" w:space="0" w:color="BFBFBF"/>
              <w:right w:val="single" w:sz="4" w:space="0" w:color="BFBFBF"/>
            </w:tcBorders>
            <w:shd w:val="clear" w:color="auto" w:fill="auto"/>
            <w:noWrap/>
            <w:vAlign w:val="center"/>
            <w:hideMark/>
          </w:tcPr>
          <w:p w14:paraId="212E969C"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151 </w:t>
            </w:r>
          </w:p>
        </w:tc>
        <w:tc>
          <w:tcPr>
            <w:tcW w:w="1170" w:type="dxa"/>
            <w:tcBorders>
              <w:top w:val="nil"/>
              <w:left w:val="nil"/>
              <w:bottom w:val="single" w:sz="4" w:space="0" w:color="BFBFBF"/>
              <w:right w:val="single" w:sz="4" w:space="0" w:color="BFBFBF"/>
            </w:tcBorders>
            <w:shd w:val="clear" w:color="auto" w:fill="auto"/>
            <w:noWrap/>
            <w:vAlign w:val="center"/>
            <w:hideMark/>
          </w:tcPr>
          <w:p w14:paraId="135496B9"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2F26E597"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0242960B"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4F82E2B6"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151 </w:t>
            </w:r>
          </w:p>
        </w:tc>
      </w:tr>
      <w:tr w:rsidR="00A90637" w:rsidRPr="00A90637" w14:paraId="5650FA6D" w14:textId="77777777" w:rsidTr="00A90637">
        <w:trPr>
          <w:trHeight w:val="375"/>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1A2D327C"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Extra Care scheme</w:t>
            </w:r>
          </w:p>
        </w:tc>
        <w:tc>
          <w:tcPr>
            <w:tcW w:w="1169" w:type="dxa"/>
            <w:tcBorders>
              <w:top w:val="nil"/>
              <w:left w:val="nil"/>
              <w:bottom w:val="single" w:sz="4" w:space="0" w:color="BFBFBF"/>
              <w:right w:val="single" w:sz="4" w:space="0" w:color="BFBFBF"/>
            </w:tcBorders>
            <w:shd w:val="clear" w:color="auto" w:fill="auto"/>
            <w:noWrap/>
            <w:vAlign w:val="center"/>
            <w:hideMark/>
          </w:tcPr>
          <w:p w14:paraId="52F66FD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532CD502"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2,000 </w:t>
            </w:r>
          </w:p>
        </w:tc>
        <w:tc>
          <w:tcPr>
            <w:tcW w:w="1170" w:type="dxa"/>
            <w:tcBorders>
              <w:top w:val="nil"/>
              <w:left w:val="nil"/>
              <w:bottom w:val="single" w:sz="4" w:space="0" w:color="BFBFBF"/>
              <w:right w:val="single" w:sz="4" w:space="0" w:color="BFBFBF"/>
            </w:tcBorders>
            <w:shd w:val="clear" w:color="auto" w:fill="auto"/>
            <w:noWrap/>
            <w:vAlign w:val="center"/>
            <w:hideMark/>
          </w:tcPr>
          <w:p w14:paraId="79F48205"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342CE0EB"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38BD6ED0"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2,000 </w:t>
            </w:r>
          </w:p>
        </w:tc>
      </w:tr>
      <w:tr w:rsidR="00A90637" w:rsidRPr="00A90637" w14:paraId="4EDDCDDB" w14:textId="77777777" w:rsidTr="00A90637">
        <w:trPr>
          <w:trHeight w:val="375"/>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7BA411C5"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 xml:space="preserve">Next Steps </w:t>
            </w:r>
            <w:proofErr w:type="spellStart"/>
            <w:r w:rsidRPr="00A90637">
              <w:rPr>
                <w:rFonts w:ascii="Calibri" w:eastAsia="Times New Roman" w:hAnsi="Calibri" w:cs="Calibri"/>
                <w:lang w:eastAsia="en-GB"/>
              </w:rPr>
              <w:t>Accom</w:t>
            </w:r>
            <w:proofErr w:type="spellEnd"/>
            <w:r w:rsidRPr="00A90637">
              <w:rPr>
                <w:rFonts w:ascii="Calibri" w:eastAsia="Times New Roman" w:hAnsi="Calibri" w:cs="Calibri"/>
                <w:lang w:eastAsia="en-GB"/>
              </w:rPr>
              <w:t xml:space="preserve"> - Purchase 2 houses</w:t>
            </w:r>
          </w:p>
        </w:tc>
        <w:tc>
          <w:tcPr>
            <w:tcW w:w="1169" w:type="dxa"/>
            <w:tcBorders>
              <w:top w:val="nil"/>
              <w:left w:val="nil"/>
              <w:bottom w:val="single" w:sz="4" w:space="0" w:color="BFBFBF"/>
              <w:right w:val="single" w:sz="4" w:space="0" w:color="BFBFBF"/>
            </w:tcBorders>
            <w:shd w:val="clear" w:color="auto" w:fill="auto"/>
            <w:noWrap/>
            <w:vAlign w:val="center"/>
            <w:hideMark/>
          </w:tcPr>
          <w:p w14:paraId="604A9B2A"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70 </w:t>
            </w:r>
          </w:p>
        </w:tc>
        <w:tc>
          <w:tcPr>
            <w:tcW w:w="1170" w:type="dxa"/>
            <w:tcBorders>
              <w:top w:val="nil"/>
              <w:left w:val="nil"/>
              <w:bottom w:val="single" w:sz="4" w:space="0" w:color="BFBFBF"/>
              <w:right w:val="single" w:sz="4" w:space="0" w:color="BFBFBF"/>
            </w:tcBorders>
            <w:shd w:val="clear" w:color="auto" w:fill="auto"/>
            <w:noWrap/>
            <w:vAlign w:val="center"/>
            <w:hideMark/>
          </w:tcPr>
          <w:p w14:paraId="292F89FA"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FCD0EF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8C4F194"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5674834C"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70 </w:t>
            </w:r>
          </w:p>
        </w:tc>
      </w:tr>
      <w:tr w:rsidR="00A90637" w:rsidRPr="00A90637" w14:paraId="1DCEA6AF" w14:textId="77777777" w:rsidTr="00A90637">
        <w:trPr>
          <w:trHeight w:val="420"/>
        </w:trPr>
        <w:tc>
          <w:tcPr>
            <w:tcW w:w="4150" w:type="dxa"/>
            <w:tcBorders>
              <w:top w:val="single" w:sz="4" w:space="0" w:color="auto"/>
              <w:left w:val="single" w:sz="4" w:space="0" w:color="BFBFBF"/>
              <w:bottom w:val="single" w:sz="4" w:space="0" w:color="auto"/>
              <w:right w:val="single" w:sz="4" w:space="0" w:color="BFBFBF"/>
            </w:tcBorders>
            <w:shd w:val="clear" w:color="000000" w:fill="D9D9D9"/>
            <w:vAlign w:val="center"/>
            <w:hideMark/>
          </w:tcPr>
          <w:p w14:paraId="2E2F1CD5"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Housing Total</w:t>
            </w:r>
          </w:p>
        </w:tc>
        <w:tc>
          <w:tcPr>
            <w:tcW w:w="1169" w:type="dxa"/>
            <w:tcBorders>
              <w:top w:val="single" w:sz="4" w:space="0" w:color="auto"/>
              <w:left w:val="nil"/>
              <w:bottom w:val="single" w:sz="4" w:space="0" w:color="auto"/>
              <w:right w:val="single" w:sz="4" w:space="0" w:color="BFBFBF"/>
            </w:tcBorders>
            <w:shd w:val="clear" w:color="000000" w:fill="D9D9D9"/>
            <w:noWrap/>
            <w:vAlign w:val="center"/>
            <w:hideMark/>
          </w:tcPr>
          <w:p w14:paraId="6071DBC9"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938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0B09A802"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3,531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0C7EFD1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auto"/>
              <w:left w:val="nil"/>
              <w:bottom w:val="single" w:sz="4" w:space="0" w:color="auto"/>
              <w:right w:val="single" w:sz="4" w:space="0" w:color="BFBFBF"/>
            </w:tcBorders>
            <w:shd w:val="clear" w:color="000000" w:fill="D9D9D9"/>
            <w:noWrap/>
            <w:vAlign w:val="center"/>
            <w:hideMark/>
          </w:tcPr>
          <w:p w14:paraId="7EC117B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auto"/>
              <w:left w:val="nil"/>
              <w:bottom w:val="single" w:sz="4" w:space="0" w:color="auto"/>
              <w:right w:val="single" w:sz="4" w:space="0" w:color="BFBFBF"/>
            </w:tcBorders>
            <w:shd w:val="clear" w:color="000000" w:fill="D9D9D9"/>
            <w:noWrap/>
            <w:vAlign w:val="center"/>
            <w:hideMark/>
          </w:tcPr>
          <w:p w14:paraId="50B729E2"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4,469 </w:t>
            </w:r>
          </w:p>
        </w:tc>
      </w:tr>
      <w:tr w:rsidR="00A90637" w:rsidRPr="00A90637" w14:paraId="3DC73C2E" w14:textId="77777777" w:rsidTr="00A90637">
        <w:trPr>
          <w:trHeight w:val="165"/>
        </w:trPr>
        <w:tc>
          <w:tcPr>
            <w:tcW w:w="4150" w:type="dxa"/>
            <w:tcBorders>
              <w:top w:val="nil"/>
              <w:left w:val="nil"/>
              <w:bottom w:val="nil"/>
              <w:right w:val="nil"/>
            </w:tcBorders>
            <w:shd w:val="clear" w:color="auto" w:fill="auto"/>
            <w:noWrap/>
            <w:vAlign w:val="center"/>
            <w:hideMark/>
          </w:tcPr>
          <w:p w14:paraId="1BDD4A6A" w14:textId="77777777" w:rsidR="00A90637" w:rsidRPr="00A90637" w:rsidRDefault="00A90637" w:rsidP="00A90637">
            <w:pPr>
              <w:spacing w:line="240" w:lineRule="auto"/>
              <w:jc w:val="right"/>
              <w:rPr>
                <w:rFonts w:ascii="Calibri" w:eastAsia="Times New Roman" w:hAnsi="Calibri" w:cs="Calibri"/>
                <w:lang w:eastAsia="en-GB"/>
              </w:rPr>
            </w:pPr>
          </w:p>
        </w:tc>
        <w:tc>
          <w:tcPr>
            <w:tcW w:w="1169" w:type="dxa"/>
            <w:tcBorders>
              <w:top w:val="nil"/>
              <w:left w:val="nil"/>
              <w:bottom w:val="nil"/>
              <w:right w:val="nil"/>
            </w:tcBorders>
            <w:shd w:val="clear" w:color="auto" w:fill="auto"/>
            <w:noWrap/>
            <w:vAlign w:val="center"/>
            <w:hideMark/>
          </w:tcPr>
          <w:p w14:paraId="137C78E3"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29364EAB"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2374C46C"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51A035F4"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0A42BFDD"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081F8DCB" w14:textId="77777777" w:rsidTr="00A90637">
        <w:trPr>
          <w:trHeight w:val="420"/>
        </w:trPr>
        <w:tc>
          <w:tcPr>
            <w:tcW w:w="4150" w:type="dxa"/>
            <w:tcBorders>
              <w:top w:val="single" w:sz="4" w:space="0" w:color="auto"/>
              <w:left w:val="single" w:sz="4" w:space="0" w:color="BFBFBF"/>
              <w:bottom w:val="single" w:sz="4" w:space="0" w:color="auto"/>
              <w:right w:val="single" w:sz="4" w:space="0" w:color="BFBFBF"/>
            </w:tcBorders>
            <w:shd w:val="clear" w:color="000000" w:fill="DCE6F1"/>
            <w:noWrap/>
            <w:vAlign w:val="center"/>
            <w:hideMark/>
          </w:tcPr>
          <w:p w14:paraId="1F5C81B6"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Good homes, green spaces and healthy places</w:t>
            </w:r>
          </w:p>
        </w:tc>
        <w:tc>
          <w:tcPr>
            <w:tcW w:w="1169" w:type="dxa"/>
            <w:tcBorders>
              <w:top w:val="single" w:sz="4" w:space="0" w:color="auto"/>
              <w:left w:val="nil"/>
              <w:bottom w:val="single" w:sz="4" w:space="0" w:color="auto"/>
              <w:right w:val="single" w:sz="4" w:space="0" w:color="BFBFBF"/>
            </w:tcBorders>
            <w:shd w:val="clear" w:color="000000" w:fill="DCE6F1"/>
            <w:noWrap/>
            <w:vAlign w:val="center"/>
            <w:hideMark/>
          </w:tcPr>
          <w:p w14:paraId="3AE8E428"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1,364 </w:t>
            </w:r>
          </w:p>
        </w:tc>
        <w:tc>
          <w:tcPr>
            <w:tcW w:w="1170" w:type="dxa"/>
            <w:tcBorders>
              <w:top w:val="single" w:sz="4" w:space="0" w:color="auto"/>
              <w:left w:val="nil"/>
              <w:bottom w:val="single" w:sz="4" w:space="0" w:color="auto"/>
              <w:right w:val="single" w:sz="4" w:space="0" w:color="BFBFBF"/>
            </w:tcBorders>
            <w:shd w:val="clear" w:color="000000" w:fill="DCE6F1"/>
            <w:noWrap/>
            <w:vAlign w:val="center"/>
            <w:hideMark/>
          </w:tcPr>
          <w:p w14:paraId="13859F7C"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3,745 </w:t>
            </w:r>
          </w:p>
        </w:tc>
        <w:tc>
          <w:tcPr>
            <w:tcW w:w="1170" w:type="dxa"/>
            <w:tcBorders>
              <w:top w:val="single" w:sz="4" w:space="0" w:color="auto"/>
              <w:left w:val="nil"/>
              <w:bottom w:val="single" w:sz="4" w:space="0" w:color="auto"/>
              <w:right w:val="single" w:sz="4" w:space="0" w:color="BFBFBF"/>
            </w:tcBorders>
            <w:shd w:val="clear" w:color="000000" w:fill="DCE6F1"/>
            <w:noWrap/>
            <w:vAlign w:val="center"/>
            <w:hideMark/>
          </w:tcPr>
          <w:p w14:paraId="0844206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auto"/>
              <w:left w:val="nil"/>
              <w:bottom w:val="single" w:sz="4" w:space="0" w:color="auto"/>
              <w:right w:val="single" w:sz="4" w:space="0" w:color="BFBFBF"/>
            </w:tcBorders>
            <w:shd w:val="clear" w:color="000000" w:fill="DCE6F1"/>
            <w:noWrap/>
            <w:vAlign w:val="center"/>
            <w:hideMark/>
          </w:tcPr>
          <w:p w14:paraId="389CE145"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auto"/>
              <w:left w:val="nil"/>
              <w:bottom w:val="single" w:sz="4" w:space="0" w:color="auto"/>
              <w:right w:val="single" w:sz="4" w:space="0" w:color="BFBFBF"/>
            </w:tcBorders>
            <w:shd w:val="clear" w:color="000000" w:fill="DCE6F1"/>
            <w:noWrap/>
            <w:vAlign w:val="center"/>
            <w:hideMark/>
          </w:tcPr>
          <w:p w14:paraId="757AEE94"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5,109 </w:t>
            </w:r>
          </w:p>
        </w:tc>
      </w:tr>
      <w:tr w:rsidR="00A90637" w:rsidRPr="00A90637" w14:paraId="2D16F7AB" w14:textId="77777777" w:rsidTr="00A90637">
        <w:trPr>
          <w:trHeight w:val="165"/>
        </w:trPr>
        <w:tc>
          <w:tcPr>
            <w:tcW w:w="4150" w:type="dxa"/>
            <w:tcBorders>
              <w:top w:val="nil"/>
              <w:left w:val="nil"/>
              <w:bottom w:val="nil"/>
              <w:right w:val="nil"/>
            </w:tcBorders>
            <w:shd w:val="clear" w:color="auto" w:fill="auto"/>
            <w:noWrap/>
            <w:vAlign w:val="center"/>
            <w:hideMark/>
          </w:tcPr>
          <w:p w14:paraId="3D8F591F" w14:textId="77777777" w:rsidR="00A90637" w:rsidRPr="00A90637" w:rsidRDefault="00A90637" w:rsidP="00A90637">
            <w:pPr>
              <w:spacing w:line="240" w:lineRule="auto"/>
              <w:jc w:val="right"/>
              <w:rPr>
                <w:rFonts w:ascii="Calibri" w:eastAsia="Times New Roman" w:hAnsi="Calibri" w:cs="Calibri"/>
                <w:lang w:eastAsia="en-GB"/>
              </w:rPr>
            </w:pPr>
          </w:p>
        </w:tc>
        <w:tc>
          <w:tcPr>
            <w:tcW w:w="1169" w:type="dxa"/>
            <w:tcBorders>
              <w:top w:val="nil"/>
              <w:left w:val="nil"/>
              <w:bottom w:val="nil"/>
              <w:right w:val="nil"/>
            </w:tcBorders>
            <w:shd w:val="clear" w:color="auto" w:fill="auto"/>
            <w:noWrap/>
            <w:vAlign w:val="center"/>
            <w:hideMark/>
          </w:tcPr>
          <w:p w14:paraId="3F5AD2D4"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A56DD51"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1753F26"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5A045CA9"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7463A0A6"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2BDB659F" w14:textId="77777777" w:rsidTr="00A90637">
        <w:trPr>
          <w:trHeight w:val="375"/>
        </w:trPr>
        <w:tc>
          <w:tcPr>
            <w:tcW w:w="5319" w:type="dxa"/>
            <w:gridSpan w:val="2"/>
            <w:tcBorders>
              <w:top w:val="nil"/>
              <w:left w:val="nil"/>
              <w:bottom w:val="nil"/>
              <w:right w:val="nil"/>
            </w:tcBorders>
            <w:shd w:val="clear" w:color="auto" w:fill="auto"/>
            <w:noWrap/>
            <w:vAlign w:val="center"/>
            <w:hideMark/>
          </w:tcPr>
          <w:p w14:paraId="65281C3B" w14:textId="77777777" w:rsidR="00A90637" w:rsidRPr="00A90637" w:rsidRDefault="00A90637" w:rsidP="00A90637">
            <w:pPr>
              <w:spacing w:line="240" w:lineRule="auto"/>
              <w:jc w:val="left"/>
              <w:rPr>
                <w:rFonts w:ascii="Calibri" w:eastAsia="Times New Roman" w:hAnsi="Calibri" w:cs="Calibri"/>
                <w:b/>
                <w:bCs/>
                <w:color w:val="0070C0"/>
                <w:sz w:val="28"/>
                <w:szCs w:val="28"/>
                <w:lang w:eastAsia="en-GB"/>
              </w:rPr>
            </w:pPr>
            <w:r w:rsidRPr="00A90637">
              <w:rPr>
                <w:rFonts w:ascii="Calibri" w:eastAsia="Times New Roman" w:hAnsi="Calibri" w:cs="Calibri"/>
                <w:b/>
                <w:bCs/>
                <w:color w:val="0070C0"/>
                <w:sz w:val="28"/>
                <w:szCs w:val="28"/>
                <w:lang w:eastAsia="en-GB"/>
              </w:rPr>
              <w:t>A fair economy that works for everyone</w:t>
            </w:r>
          </w:p>
        </w:tc>
        <w:tc>
          <w:tcPr>
            <w:tcW w:w="1170" w:type="dxa"/>
            <w:tcBorders>
              <w:top w:val="nil"/>
              <w:left w:val="nil"/>
              <w:bottom w:val="nil"/>
              <w:right w:val="nil"/>
            </w:tcBorders>
            <w:shd w:val="clear" w:color="auto" w:fill="auto"/>
            <w:noWrap/>
            <w:vAlign w:val="center"/>
            <w:hideMark/>
          </w:tcPr>
          <w:p w14:paraId="4ECFFDB7" w14:textId="77777777" w:rsidR="00A90637" w:rsidRPr="00A90637" w:rsidRDefault="00A90637" w:rsidP="00A90637">
            <w:pPr>
              <w:spacing w:line="240" w:lineRule="auto"/>
              <w:jc w:val="left"/>
              <w:rPr>
                <w:rFonts w:ascii="Calibri" w:eastAsia="Times New Roman" w:hAnsi="Calibri" w:cs="Calibri"/>
                <w:b/>
                <w:bCs/>
                <w:color w:val="0070C0"/>
                <w:sz w:val="28"/>
                <w:szCs w:val="28"/>
                <w:lang w:eastAsia="en-GB"/>
              </w:rPr>
            </w:pPr>
          </w:p>
        </w:tc>
        <w:tc>
          <w:tcPr>
            <w:tcW w:w="1170" w:type="dxa"/>
            <w:tcBorders>
              <w:top w:val="nil"/>
              <w:left w:val="nil"/>
              <w:bottom w:val="nil"/>
              <w:right w:val="nil"/>
            </w:tcBorders>
            <w:shd w:val="clear" w:color="auto" w:fill="auto"/>
            <w:noWrap/>
            <w:vAlign w:val="center"/>
            <w:hideMark/>
          </w:tcPr>
          <w:p w14:paraId="1C45401B"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27B9117E"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01E0E5C5"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772EA71F" w14:textId="77777777" w:rsidTr="00A90637">
        <w:trPr>
          <w:trHeight w:val="375"/>
        </w:trPr>
        <w:tc>
          <w:tcPr>
            <w:tcW w:w="4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D6614E"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Church Road, Bamber Bridge</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2D5F9DF7"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40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483BE226"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3C5FA857"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3CC9F7F5"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BFBFBF"/>
              <w:left w:val="nil"/>
              <w:bottom w:val="single" w:sz="4" w:space="0" w:color="BFBFBF"/>
              <w:right w:val="single" w:sz="4" w:space="0" w:color="BFBFBF"/>
            </w:tcBorders>
            <w:shd w:val="clear" w:color="auto" w:fill="auto"/>
            <w:noWrap/>
            <w:vAlign w:val="center"/>
            <w:hideMark/>
          </w:tcPr>
          <w:p w14:paraId="2B3A507D"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40 </w:t>
            </w:r>
          </w:p>
        </w:tc>
      </w:tr>
      <w:tr w:rsidR="00A90637" w:rsidRPr="00A90637" w14:paraId="02B0A1A5" w14:textId="77777777" w:rsidTr="00A90637">
        <w:trPr>
          <w:trHeight w:val="375"/>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53CE36B0"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Leyland Train Station Ticket Office</w:t>
            </w:r>
          </w:p>
        </w:tc>
        <w:tc>
          <w:tcPr>
            <w:tcW w:w="1169" w:type="dxa"/>
            <w:tcBorders>
              <w:top w:val="nil"/>
              <w:left w:val="nil"/>
              <w:bottom w:val="single" w:sz="4" w:space="0" w:color="BFBFBF"/>
              <w:right w:val="single" w:sz="4" w:space="0" w:color="BFBFBF"/>
            </w:tcBorders>
            <w:shd w:val="clear" w:color="auto" w:fill="auto"/>
            <w:noWrap/>
            <w:vAlign w:val="center"/>
            <w:hideMark/>
          </w:tcPr>
          <w:p w14:paraId="2914E378"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21672ACB"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60 </w:t>
            </w:r>
          </w:p>
        </w:tc>
        <w:tc>
          <w:tcPr>
            <w:tcW w:w="1170" w:type="dxa"/>
            <w:tcBorders>
              <w:top w:val="nil"/>
              <w:left w:val="nil"/>
              <w:bottom w:val="single" w:sz="4" w:space="0" w:color="BFBFBF"/>
              <w:right w:val="single" w:sz="4" w:space="0" w:color="BFBFBF"/>
            </w:tcBorders>
            <w:shd w:val="clear" w:color="auto" w:fill="auto"/>
            <w:noWrap/>
            <w:vAlign w:val="center"/>
            <w:hideMark/>
          </w:tcPr>
          <w:p w14:paraId="0DE16A11"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BAECA1F"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1B8CC6BB"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60 </w:t>
            </w:r>
          </w:p>
        </w:tc>
      </w:tr>
      <w:tr w:rsidR="00A90637" w:rsidRPr="00A90637" w14:paraId="7AC2934B" w14:textId="77777777" w:rsidTr="00A90637">
        <w:trPr>
          <w:trHeight w:val="375"/>
        </w:trPr>
        <w:tc>
          <w:tcPr>
            <w:tcW w:w="4150" w:type="dxa"/>
            <w:tcBorders>
              <w:top w:val="nil"/>
              <w:left w:val="single" w:sz="4" w:space="0" w:color="BFBFBF"/>
              <w:bottom w:val="single" w:sz="4" w:space="0" w:color="BFBFBF"/>
              <w:right w:val="single" w:sz="4" w:space="0" w:color="BFBFBF"/>
            </w:tcBorders>
            <w:shd w:val="clear" w:color="auto" w:fill="auto"/>
            <w:vAlign w:val="center"/>
            <w:hideMark/>
          </w:tcPr>
          <w:p w14:paraId="4D35E2C6"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New Longton Regeneration</w:t>
            </w:r>
          </w:p>
        </w:tc>
        <w:tc>
          <w:tcPr>
            <w:tcW w:w="1169" w:type="dxa"/>
            <w:tcBorders>
              <w:top w:val="nil"/>
              <w:left w:val="nil"/>
              <w:bottom w:val="single" w:sz="4" w:space="0" w:color="BFBFBF"/>
              <w:right w:val="single" w:sz="4" w:space="0" w:color="BFBFBF"/>
            </w:tcBorders>
            <w:shd w:val="clear" w:color="auto" w:fill="auto"/>
            <w:noWrap/>
            <w:vAlign w:val="center"/>
            <w:hideMark/>
          </w:tcPr>
          <w:p w14:paraId="2749A9BD"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75 </w:t>
            </w:r>
          </w:p>
        </w:tc>
        <w:tc>
          <w:tcPr>
            <w:tcW w:w="1170" w:type="dxa"/>
            <w:tcBorders>
              <w:top w:val="nil"/>
              <w:left w:val="nil"/>
              <w:bottom w:val="single" w:sz="4" w:space="0" w:color="BFBFBF"/>
              <w:right w:val="single" w:sz="4" w:space="0" w:color="BFBFBF"/>
            </w:tcBorders>
            <w:shd w:val="clear" w:color="auto" w:fill="auto"/>
            <w:noWrap/>
            <w:vAlign w:val="center"/>
            <w:hideMark/>
          </w:tcPr>
          <w:p w14:paraId="5001800A"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6499EB4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7FE4E9D9"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nil"/>
              <w:left w:val="nil"/>
              <w:bottom w:val="single" w:sz="4" w:space="0" w:color="BFBFBF"/>
              <w:right w:val="single" w:sz="4" w:space="0" w:color="BFBFBF"/>
            </w:tcBorders>
            <w:shd w:val="clear" w:color="auto" w:fill="auto"/>
            <w:noWrap/>
            <w:vAlign w:val="center"/>
            <w:hideMark/>
          </w:tcPr>
          <w:p w14:paraId="0BEC13DC"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75 </w:t>
            </w:r>
          </w:p>
        </w:tc>
      </w:tr>
      <w:tr w:rsidR="00A90637" w:rsidRPr="00A90637" w14:paraId="159C4AAB" w14:textId="77777777" w:rsidTr="00A90637">
        <w:trPr>
          <w:trHeight w:val="420"/>
        </w:trPr>
        <w:tc>
          <w:tcPr>
            <w:tcW w:w="4150" w:type="dxa"/>
            <w:tcBorders>
              <w:top w:val="single" w:sz="4" w:space="0" w:color="auto"/>
              <w:left w:val="single" w:sz="4" w:space="0" w:color="BFBFBF"/>
              <w:bottom w:val="single" w:sz="4" w:space="0" w:color="auto"/>
              <w:right w:val="single" w:sz="4" w:space="0" w:color="BFBFBF"/>
            </w:tcBorders>
            <w:shd w:val="clear" w:color="000000" w:fill="DCE6F1"/>
            <w:noWrap/>
            <w:vAlign w:val="center"/>
            <w:hideMark/>
          </w:tcPr>
          <w:p w14:paraId="1599A32D"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A fair economy that works for everyone</w:t>
            </w:r>
          </w:p>
        </w:tc>
        <w:tc>
          <w:tcPr>
            <w:tcW w:w="1169" w:type="dxa"/>
            <w:tcBorders>
              <w:top w:val="single" w:sz="4" w:space="0" w:color="auto"/>
              <w:left w:val="nil"/>
              <w:bottom w:val="single" w:sz="4" w:space="0" w:color="auto"/>
              <w:right w:val="single" w:sz="4" w:space="0" w:color="BFBFBF"/>
            </w:tcBorders>
            <w:shd w:val="clear" w:color="000000" w:fill="DCE6F1"/>
            <w:noWrap/>
            <w:vAlign w:val="center"/>
            <w:hideMark/>
          </w:tcPr>
          <w:p w14:paraId="4215C3CC"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115 </w:t>
            </w:r>
          </w:p>
        </w:tc>
        <w:tc>
          <w:tcPr>
            <w:tcW w:w="1170" w:type="dxa"/>
            <w:tcBorders>
              <w:top w:val="single" w:sz="4" w:space="0" w:color="auto"/>
              <w:left w:val="nil"/>
              <w:bottom w:val="single" w:sz="4" w:space="0" w:color="auto"/>
              <w:right w:val="single" w:sz="4" w:space="0" w:color="BFBFBF"/>
            </w:tcBorders>
            <w:shd w:val="clear" w:color="000000" w:fill="DCE6F1"/>
            <w:noWrap/>
            <w:vAlign w:val="center"/>
            <w:hideMark/>
          </w:tcPr>
          <w:p w14:paraId="580549C4"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60 </w:t>
            </w:r>
          </w:p>
        </w:tc>
        <w:tc>
          <w:tcPr>
            <w:tcW w:w="1170" w:type="dxa"/>
            <w:tcBorders>
              <w:top w:val="single" w:sz="4" w:space="0" w:color="auto"/>
              <w:left w:val="nil"/>
              <w:bottom w:val="single" w:sz="4" w:space="0" w:color="auto"/>
              <w:right w:val="single" w:sz="4" w:space="0" w:color="BFBFBF"/>
            </w:tcBorders>
            <w:shd w:val="clear" w:color="000000" w:fill="DCE6F1"/>
            <w:noWrap/>
            <w:vAlign w:val="center"/>
            <w:hideMark/>
          </w:tcPr>
          <w:p w14:paraId="5DEBCA2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auto"/>
              <w:left w:val="nil"/>
              <w:bottom w:val="single" w:sz="4" w:space="0" w:color="auto"/>
              <w:right w:val="single" w:sz="4" w:space="0" w:color="BFBFBF"/>
            </w:tcBorders>
            <w:shd w:val="clear" w:color="000000" w:fill="DCE6F1"/>
            <w:noWrap/>
            <w:vAlign w:val="center"/>
            <w:hideMark/>
          </w:tcPr>
          <w:p w14:paraId="39B828B8"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auto"/>
              <w:left w:val="nil"/>
              <w:bottom w:val="single" w:sz="4" w:space="0" w:color="auto"/>
              <w:right w:val="single" w:sz="4" w:space="0" w:color="BFBFBF"/>
            </w:tcBorders>
            <w:shd w:val="clear" w:color="000000" w:fill="DCE6F1"/>
            <w:noWrap/>
            <w:vAlign w:val="center"/>
            <w:hideMark/>
          </w:tcPr>
          <w:p w14:paraId="68FEE4CC"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175 </w:t>
            </w:r>
          </w:p>
        </w:tc>
      </w:tr>
      <w:tr w:rsidR="00A90637" w:rsidRPr="00A90637" w14:paraId="29BF0158" w14:textId="77777777" w:rsidTr="00A90637">
        <w:trPr>
          <w:trHeight w:val="165"/>
        </w:trPr>
        <w:tc>
          <w:tcPr>
            <w:tcW w:w="4150" w:type="dxa"/>
            <w:tcBorders>
              <w:top w:val="nil"/>
              <w:left w:val="nil"/>
              <w:bottom w:val="nil"/>
              <w:right w:val="nil"/>
            </w:tcBorders>
            <w:shd w:val="clear" w:color="auto" w:fill="auto"/>
            <w:noWrap/>
            <w:vAlign w:val="center"/>
            <w:hideMark/>
          </w:tcPr>
          <w:p w14:paraId="27E92C75" w14:textId="77777777" w:rsidR="00A90637" w:rsidRPr="00A90637" w:rsidRDefault="00A90637" w:rsidP="00A90637">
            <w:pPr>
              <w:spacing w:line="240" w:lineRule="auto"/>
              <w:jc w:val="right"/>
              <w:rPr>
                <w:rFonts w:ascii="Calibri" w:eastAsia="Times New Roman" w:hAnsi="Calibri" w:cs="Calibri"/>
                <w:lang w:eastAsia="en-GB"/>
              </w:rPr>
            </w:pPr>
          </w:p>
        </w:tc>
        <w:tc>
          <w:tcPr>
            <w:tcW w:w="1169" w:type="dxa"/>
            <w:tcBorders>
              <w:top w:val="nil"/>
              <w:left w:val="nil"/>
              <w:bottom w:val="nil"/>
              <w:right w:val="nil"/>
            </w:tcBorders>
            <w:shd w:val="clear" w:color="auto" w:fill="auto"/>
            <w:noWrap/>
            <w:vAlign w:val="center"/>
            <w:hideMark/>
          </w:tcPr>
          <w:p w14:paraId="375B5008"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451A2058"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65796DB"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3942FC97"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59E10D10"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4AF07742" w14:textId="77777777" w:rsidTr="00A90637">
        <w:trPr>
          <w:trHeight w:val="420"/>
        </w:trPr>
        <w:tc>
          <w:tcPr>
            <w:tcW w:w="4150" w:type="dxa"/>
            <w:tcBorders>
              <w:top w:val="nil"/>
              <w:left w:val="nil"/>
              <w:bottom w:val="nil"/>
              <w:right w:val="nil"/>
            </w:tcBorders>
            <w:shd w:val="clear" w:color="auto" w:fill="auto"/>
            <w:noWrap/>
            <w:vAlign w:val="center"/>
            <w:hideMark/>
          </w:tcPr>
          <w:p w14:paraId="1FA36157" w14:textId="77777777" w:rsidR="00A90637" w:rsidRPr="00A90637" w:rsidRDefault="00A90637" w:rsidP="00A90637">
            <w:pPr>
              <w:spacing w:line="240" w:lineRule="auto"/>
              <w:jc w:val="left"/>
              <w:rPr>
                <w:rFonts w:ascii="Calibri" w:eastAsia="Times New Roman" w:hAnsi="Calibri" w:cs="Calibri"/>
                <w:b/>
                <w:bCs/>
                <w:color w:val="0070C0"/>
                <w:sz w:val="28"/>
                <w:szCs w:val="28"/>
                <w:lang w:eastAsia="en-GB"/>
              </w:rPr>
            </w:pPr>
            <w:r w:rsidRPr="00A90637">
              <w:rPr>
                <w:rFonts w:ascii="Calibri" w:eastAsia="Times New Roman" w:hAnsi="Calibri" w:cs="Calibri"/>
                <w:b/>
                <w:bCs/>
                <w:color w:val="0070C0"/>
                <w:sz w:val="28"/>
                <w:szCs w:val="28"/>
                <w:lang w:eastAsia="en-GB"/>
              </w:rPr>
              <w:t>Thriving communities</w:t>
            </w:r>
          </w:p>
        </w:tc>
        <w:tc>
          <w:tcPr>
            <w:tcW w:w="1169" w:type="dxa"/>
            <w:tcBorders>
              <w:top w:val="nil"/>
              <w:left w:val="nil"/>
              <w:bottom w:val="nil"/>
              <w:right w:val="nil"/>
            </w:tcBorders>
            <w:shd w:val="clear" w:color="auto" w:fill="auto"/>
            <w:noWrap/>
            <w:vAlign w:val="center"/>
            <w:hideMark/>
          </w:tcPr>
          <w:p w14:paraId="59DA0E50" w14:textId="77777777" w:rsidR="00A90637" w:rsidRPr="00A90637" w:rsidRDefault="00A90637" w:rsidP="00A90637">
            <w:pPr>
              <w:spacing w:line="240" w:lineRule="auto"/>
              <w:jc w:val="left"/>
              <w:rPr>
                <w:rFonts w:ascii="Calibri" w:eastAsia="Times New Roman" w:hAnsi="Calibri" w:cs="Calibri"/>
                <w:b/>
                <w:bCs/>
                <w:color w:val="0070C0"/>
                <w:sz w:val="28"/>
                <w:szCs w:val="28"/>
                <w:lang w:eastAsia="en-GB"/>
              </w:rPr>
            </w:pPr>
          </w:p>
        </w:tc>
        <w:tc>
          <w:tcPr>
            <w:tcW w:w="1170" w:type="dxa"/>
            <w:tcBorders>
              <w:top w:val="nil"/>
              <w:left w:val="nil"/>
              <w:bottom w:val="nil"/>
              <w:right w:val="nil"/>
            </w:tcBorders>
            <w:shd w:val="clear" w:color="auto" w:fill="auto"/>
            <w:noWrap/>
            <w:vAlign w:val="center"/>
            <w:hideMark/>
          </w:tcPr>
          <w:p w14:paraId="1D63E663"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C8A16D8"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789B1CC1"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71AB1278"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55BB8A4E" w14:textId="77777777" w:rsidTr="00A90637">
        <w:trPr>
          <w:trHeight w:val="375"/>
        </w:trPr>
        <w:tc>
          <w:tcPr>
            <w:tcW w:w="41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1C0DF3"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 xml:space="preserve">Vernon </w:t>
            </w:r>
            <w:proofErr w:type="spellStart"/>
            <w:r w:rsidRPr="00A90637">
              <w:rPr>
                <w:rFonts w:ascii="Calibri" w:eastAsia="Times New Roman" w:hAnsi="Calibri" w:cs="Calibri"/>
                <w:lang w:eastAsia="en-GB"/>
              </w:rPr>
              <w:t>Carus</w:t>
            </w:r>
            <w:proofErr w:type="spellEnd"/>
            <w:r w:rsidRPr="00A90637">
              <w:rPr>
                <w:rFonts w:ascii="Calibri" w:eastAsia="Times New Roman" w:hAnsi="Calibri" w:cs="Calibri"/>
                <w:lang w:eastAsia="en-GB"/>
              </w:rPr>
              <w:t xml:space="preserve"> Sports Club</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7D4FD720"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150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7AFCDB2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516FB8F0"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4616A654"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BFBFBF"/>
              <w:left w:val="nil"/>
              <w:bottom w:val="single" w:sz="4" w:space="0" w:color="BFBFBF"/>
              <w:right w:val="single" w:sz="4" w:space="0" w:color="BFBFBF"/>
            </w:tcBorders>
            <w:shd w:val="clear" w:color="auto" w:fill="auto"/>
            <w:noWrap/>
            <w:vAlign w:val="center"/>
            <w:hideMark/>
          </w:tcPr>
          <w:p w14:paraId="6DF7C7D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150 </w:t>
            </w:r>
          </w:p>
        </w:tc>
      </w:tr>
      <w:tr w:rsidR="00A90637" w:rsidRPr="00A90637" w14:paraId="63440422" w14:textId="77777777" w:rsidTr="00A90637">
        <w:trPr>
          <w:trHeight w:val="420"/>
        </w:trPr>
        <w:tc>
          <w:tcPr>
            <w:tcW w:w="4150" w:type="dxa"/>
            <w:tcBorders>
              <w:top w:val="single" w:sz="4" w:space="0" w:color="auto"/>
              <w:left w:val="single" w:sz="4" w:space="0" w:color="BFBFBF"/>
              <w:bottom w:val="single" w:sz="4" w:space="0" w:color="auto"/>
              <w:right w:val="single" w:sz="4" w:space="0" w:color="BFBFBF"/>
            </w:tcBorders>
            <w:shd w:val="clear" w:color="000000" w:fill="DCE6F1"/>
            <w:noWrap/>
            <w:vAlign w:val="center"/>
            <w:hideMark/>
          </w:tcPr>
          <w:p w14:paraId="16B5B984"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Thriving communities</w:t>
            </w:r>
          </w:p>
        </w:tc>
        <w:tc>
          <w:tcPr>
            <w:tcW w:w="1169" w:type="dxa"/>
            <w:tcBorders>
              <w:top w:val="single" w:sz="4" w:space="0" w:color="auto"/>
              <w:left w:val="nil"/>
              <w:bottom w:val="single" w:sz="4" w:space="0" w:color="auto"/>
              <w:right w:val="single" w:sz="4" w:space="0" w:color="BFBFBF"/>
            </w:tcBorders>
            <w:shd w:val="clear" w:color="000000" w:fill="DCE6F1"/>
            <w:noWrap/>
            <w:vAlign w:val="center"/>
            <w:hideMark/>
          </w:tcPr>
          <w:p w14:paraId="549AB500"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150 </w:t>
            </w:r>
          </w:p>
        </w:tc>
        <w:tc>
          <w:tcPr>
            <w:tcW w:w="1170" w:type="dxa"/>
            <w:tcBorders>
              <w:top w:val="single" w:sz="4" w:space="0" w:color="auto"/>
              <w:left w:val="nil"/>
              <w:bottom w:val="single" w:sz="4" w:space="0" w:color="auto"/>
              <w:right w:val="single" w:sz="4" w:space="0" w:color="BFBFBF"/>
            </w:tcBorders>
            <w:shd w:val="clear" w:color="000000" w:fill="DCE6F1"/>
            <w:noWrap/>
            <w:vAlign w:val="center"/>
            <w:hideMark/>
          </w:tcPr>
          <w:p w14:paraId="4E1E95B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auto"/>
              <w:left w:val="nil"/>
              <w:bottom w:val="single" w:sz="4" w:space="0" w:color="auto"/>
              <w:right w:val="single" w:sz="4" w:space="0" w:color="BFBFBF"/>
            </w:tcBorders>
            <w:shd w:val="clear" w:color="000000" w:fill="DCE6F1"/>
            <w:noWrap/>
            <w:vAlign w:val="center"/>
            <w:hideMark/>
          </w:tcPr>
          <w:p w14:paraId="06638493"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auto"/>
              <w:left w:val="nil"/>
              <w:bottom w:val="single" w:sz="4" w:space="0" w:color="auto"/>
              <w:right w:val="single" w:sz="4" w:space="0" w:color="BFBFBF"/>
            </w:tcBorders>
            <w:shd w:val="clear" w:color="000000" w:fill="DCE6F1"/>
            <w:noWrap/>
            <w:vAlign w:val="center"/>
            <w:hideMark/>
          </w:tcPr>
          <w:p w14:paraId="32E1BA1E"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auto"/>
              <w:left w:val="nil"/>
              <w:bottom w:val="single" w:sz="4" w:space="0" w:color="auto"/>
              <w:right w:val="single" w:sz="4" w:space="0" w:color="BFBFBF"/>
            </w:tcBorders>
            <w:shd w:val="clear" w:color="000000" w:fill="DCE6F1"/>
            <w:noWrap/>
            <w:vAlign w:val="center"/>
            <w:hideMark/>
          </w:tcPr>
          <w:p w14:paraId="18ADEC04"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150 </w:t>
            </w:r>
          </w:p>
        </w:tc>
      </w:tr>
      <w:tr w:rsidR="00A90637" w:rsidRPr="00A90637" w14:paraId="4E5B1FDA" w14:textId="77777777" w:rsidTr="00A90637">
        <w:trPr>
          <w:trHeight w:val="165"/>
        </w:trPr>
        <w:tc>
          <w:tcPr>
            <w:tcW w:w="4150" w:type="dxa"/>
            <w:tcBorders>
              <w:top w:val="nil"/>
              <w:left w:val="nil"/>
              <w:bottom w:val="nil"/>
              <w:right w:val="nil"/>
            </w:tcBorders>
            <w:shd w:val="clear" w:color="auto" w:fill="auto"/>
            <w:noWrap/>
            <w:vAlign w:val="center"/>
            <w:hideMark/>
          </w:tcPr>
          <w:p w14:paraId="435F6C69" w14:textId="77777777" w:rsidR="00A90637" w:rsidRPr="00A90637" w:rsidRDefault="00A90637" w:rsidP="00A90637">
            <w:pPr>
              <w:spacing w:line="240" w:lineRule="auto"/>
              <w:jc w:val="right"/>
              <w:rPr>
                <w:rFonts w:ascii="Calibri" w:eastAsia="Times New Roman" w:hAnsi="Calibri" w:cs="Calibri"/>
                <w:lang w:eastAsia="en-GB"/>
              </w:rPr>
            </w:pPr>
          </w:p>
        </w:tc>
        <w:tc>
          <w:tcPr>
            <w:tcW w:w="1169" w:type="dxa"/>
            <w:tcBorders>
              <w:top w:val="nil"/>
              <w:left w:val="nil"/>
              <w:bottom w:val="nil"/>
              <w:right w:val="nil"/>
            </w:tcBorders>
            <w:shd w:val="clear" w:color="auto" w:fill="auto"/>
            <w:noWrap/>
            <w:vAlign w:val="center"/>
            <w:hideMark/>
          </w:tcPr>
          <w:p w14:paraId="3ECECCBD"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E914B46"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47018363"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201A4755"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c>
          <w:tcPr>
            <w:tcW w:w="1131" w:type="dxa"/>
            <w:tcBorders>
              <w:top w:val="nil"/>
              <w:left w:val="nil"/>
              <w:bottom w:val="nil"/>
              <w:right w:val="nil"/>
            </w:tcBorders>
            <w:shd w:val="clear" w:color="auto" w:fill="auto"/>
            <w:noWrap/>
            <w:vAlign w:val="center"/>
            <w:hideMark/>
          </w:tcPr>
          <w:p w14:paraId="2B2F3D9B" w14:textId="77777777" w:rsidR="00A90637" w:rsidRPr="00A90637" w:rsidRDefault="00A90637" w:rsidP="00A90637">
            <w:pPr>
              <w:spacing w:line="240" w:lineRule="auto"/>
              <w:jc w:val="left"/>
              <w:rPr>
                <w:rFonts w:ascii="Times New Roman" w:eastAsia="Times New Roman" w:hAnsi="Times New Roman" w:cs="Times New Roman"/>
                <w:sz w:val="20"/>
                <w:szCs w:val="20"/>
                <w:lang w:eastAsia="en-GB"/>
              </w:rPr>
            </w:pPr>
          </w:p>
        </w:tc>
      </w:tr>
      <w:tr w:rsidR="00A90637" w:rsidRPr="00A90637" w14:paraId="735CAE75" w14:textId="77777777" w:rsidTr="00A90637">
        <w:trPr>
          <w:trHeight w:val="375"/>
        </w:trPr>
        <w:tc>
          <w:tcPr>
            <w:tcW w:w="4150" w:type="dxa"/>
            <w:tcBorders>
              <w:top w:val="single" w:sz="4" w:space="0" w:color="auto"/>
              <w:left w:val="single" w:sz="4" w:space="0" w:color="BFBFBF"/>
              <w:bottom w:val="single" w:sz="4" w:space="0" w:color="auto"/>
              <w:right w:val="single" w:sz="4" w:space="0" w:color="BFBFBF"/>
            </w:tcBorders>
            <w:shd w:val="clear" w:color="000000" w:fill="B8CCE4"/>
            <w:vAlign w:val="center"/>
            <w:hideMark/>
          </w:tcPr>
          <w:p w14:paraId="18E1BF0C" w14:textId="77777777" w:rsidR="00A90637" w:rsidRPr="00A90637" w:rsidRDefault="00A90637" w:rsidP="00A90637">
            <w:pPr>
              <w:spacing w:line="240" w:lineRule="auto"/>
              <w:jc w:val="left"/>
              <w:rPr>
                <w:rFonts w:ascii="Calibri" w:eastAsia="Times New Roman" w:hAnsi="Calibri" w:cs="Calibri"/>
                <w:lang w:eastAsia="en-GB"/>
              </w:rPr>
            </w:pPr>
            <w:r w:rsidRPr="00A90637">
              <w:rPr>
                <w:rFonts w:ascii="Calibri" w:eastAsia="Times New Roman" w:hAnsi="Calibri" w:cs="Calibri"/>
                <w:lang w:eastAsia="en-GB"/>
              </w:rPr>
              <w:t>Total</w:t>
            </w:r>
          </w:p>
        </w:tc>
        <w:tc>
          <w:tcPr>
            <w:tcW w:w="1169" w:type="dxa"/>
            <w:tcBorders>
              <w:top w:val="single" w:sz="4" w:space="0" w:color="auto"/>
              <w:left w:val="nil"/>
              <w:bottom w:val="single" w:sz="4" w:space="0" w:color="auto"/>
              <w:right w:val="single" w:sz="4" w:space="0" w:color="BFBFBF"/>
            </w:tcBorders>
            <w:shd w:val="clear" w:color="000000" w:fill="B8CCE4"/>
            <w:noWrap/>
            <w:vAlign w:val="center"/>
            <w:hideMark/>
          </w:tcPr>
          <w:p w14:paraId="276AE276"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1,629 </w:t>
            </w:r>
          </w:p>
        </w:tc>
        <w:tc>
          <w:tcPr>
            <w:tcW w:w="1170" w:type="dxa"/>
            <w:tcBorders>
              <w:top w:val="single" w:sz="4" w:space="0" w:color="auto"/>
              <w:left w:val="nil"/>
              <w:bottom w:val="single" w:sz="4" w:space="0" w:color="auto"/>
              <w:right w:val="single" w:sz="4" w:space="0" w:color="BFBFBF"/>
            </w:tcBorders>
            <w:shd w:val="clear" w:color="000000" w:fill="B8CCE4"/>
            <w:noWrap/>
            <w:vAlign w:val="center"/>
            <w:hideMark/>
          </w:tcPr>
          <w:p w14:paraId="4A7E9E0F"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3,805 </w:t>
            </w:r>
          </w:p>
        </w:tc>
        <w:tc>
          <w:tcPr>
            <w:tcW w:w="1170" w:type="dxa"/>
            <w:tcBorders>
              <w:top w:val="single" w:sz="4" w:space="0" w:color="auto"/>
              <w:left w:val="nil"/>
              <w:bottom w:val="single" w:sz="4" w:space="0" w:color="auto"/>
              <w:right w:val="single" w:sz="4" w:space="0" w:color="BFBFBF"/>
            </w:tcBorders>
            <w:shd w:val="clear" w:color="000000" w:fill="B8CCE4"/>
            <w:noWrap/>
            <w:vAlign w:val="center"/>
            <w:hideMark/>
          </w:tcPr>
          <w:p w14:paraId="76829371"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70" w:type="dxa"/>
            <w:tcBorders>
              <w:top w:val="single" w:sz="4" w:space="0" w:color="auto"/>
              <w:left w:val="nil"/>
              <w:bottom w:val="single" w:sz="4" w:space="0" w:color="auto"/>
              <w:right w:val="single" w:sz="4" w:space="0" w:color="BFBFBF"/>
            </w:tcBorders>
            <w:shd w:val="clear" w:color="000000" w:fill="B8CCE4"/>
            <w:noWrap/>
            <w:vAlign w:val="center"/>
            <w:hideMark/>
          </w:tcPr>
          <w:p w14:paraId="0A5F48C5"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  </w:t>
            </w:r>
          </w:p>
        </w:tc>
        <w:tc>
          <w:tcPr>
            <w:tcW w:w="1131" w:type="dxa"/>
            <w:tcBorders>
              <w:top w:val="single" w:sz="4" w:space="0" w:color="auto"/>
              <w:left w:val="nil"/>
              <w:bottom w:val="single" w:sz="4" w:space="0" w:color="auto"/>
              <w:right w:val="single" w:sz="4" w:space="0" w:color="BFBFBF"/>
            </w:tcBorders>
            <w:shd w:val="clear" w:color="000000" w:fill="B8CCE4"/>
            <w:noWrap/>
            <w:vAlign w:val="center"/>
            <w:hideMark/>
          </w:tcPr>
          <w:p w14:paraId="047764A5" w14:textId="77777777" w:rsidR="00A90637" w:rsidRPr="00A90637" w:rsidRDefault="00A90637" w:rsidP="00A90637">
            <w:pPr>
              <w:spacing w:line="240" w:lineRule="auto"/>
              <w:jc w:val="right"/>
              <w:rPr>
                <w:rFonts w:ascii="Calibri" w:eastAsia="Times New Roman" w:hAnsi="Calibri" w:cs="Calibri"/>
                <w:lang w:eastAsia="en-GB"/>
              </w:rPr>
            </w:pPr>
            <w:r w:rsidRPr="00A90637">
              <w:rPr>
                <w:rFonts w:ascii="Calibri" w:eastAsia="Times New Roman" w:hAnsi="Calibri" w:cs="Calibri"/>
                <w:lang w:eastAsia="en-GB"/>
              </w:rPr>
              <w:t xml:space="preserve">5,434 </w:t>
            </w:r>
          </w:p>
        </w:tc>
      </w:tr>
    </w:tbl>
    <w:p w14:paraId="790437DC" w14:textId="77777777" w:rsidR="00E63F3B" w:rsidRDefault="00E63F3B" w:rsidP="00D4794B">
      <w:pPr>
        <w:spacing w:after="160" w:line="259" w:lineRule="auto"/>
      </w:pPr>
    </w:p>
    <w:sectPr w:rsidR="00E63F3B" w:rsidSect="009013DC">
      <w:head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3257" w14:textId="77777777" w:rsidR="00F5091A" w:rsidRDefault="00F5091A" w:rsidP="00F5091A">
      <w:pPr>
        <w:spacing w:line="240" w:lineRule="auto"/>
      </w:pPr>
      <w:r>
        <w:separator/>
      </w:r>
    </w:p>
  </w:endnote>
  <w:endnote w:type="continuationSeparator" w:id="0">
    <w:p w14:paraId="73527F5C" w14:textId="77777777" w:rsidR="00F5091A" w:rsidRDefault="00F5091A" w:rsidP="00F50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96" w14:textId="77777777" w:rsidR="00F5091A" w:rsidRDefault="00F5091A" w:rsidP="00F5091A">
      <w:pPr>
        <w:spacing w:line="240" w:lineRule="auto"/>
      </w:pPr>
      <w:r>
        <w:separator/>
      </w:r>
    </w:p>
  </w:footnote>
  <w:footnote w:type="continuationSeparator" w:id="0">
    <w:p w14:paraId="6CF2B128" w14:textId="77777777" w:rsidR="00F5091A" w:rsidRDefault="00F5091A" w:rsidP="00F50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DC9B" w14:textId="66332259" w:rsidR="00F5091A" w:rsidRDefault="00F5091A" w:rsidP="00F5091A">
    <w:pPr>
      <w:pStyle w:val="Header"/>
      <w:jc w:val="right"/>
    </w:pPr>
    <w:r>
      <w:rPr>
        <w:noProof/>
        <w:lang w:eastAsia="en-GB"/>
      </w:rPr>
      <w:drawing>
        <wp:inline distT="0" distB="0" distL="0" distR="0" wp14:anchorId="295ED118" wp14:editId="35884E2D">
          <wp:extent cx="1497600" cy="662400"/>
          <wp:effectExtent l="0" t="0" r="7620" b="444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7600" cy="662400"/>
                  </a:xfrm>
                  <a:prstGeom prst="rect">
                    <a:avLst/>
                  </a:prstGeom>
                </pic:spPr>
              </pic:pic>
            </a:graphicData>
          </a:graphic>
        </wp:inline>
      </w:drawing>
    </w:r>
  </w:p>
  <w:p w14:paraId="52B9ADD6" w14:textId="77777777" w:rsidR="00F5091A" w:rsidRDefault="00F5091A" w:rsidP="00F509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03E"/>
    <w:multiLevelType w:val="hybridMultilevel"/>
    <w:tmpl w:val="36F6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D609D"/>
    <w:multiLevelType w:val="hybridMultilevel"/>
    <w:tmpl w:val="8984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C9"/>
    <w:rsid w:val="000927C9"/>
    <w:rsid w:val="001B0C68"/>
    <w:rsid w:val="001F65A6"/>
    <w:rsid w:val="002163AF"/>
    <w:rsid w:val="00237744"/>
    <w:rsid w:val="00287D11"/>
    <w:rsid w:val="0035498B"/>
    <w:rsid w:val="003861AF"/>
    <w:rsid w:val="00452F11"/>
    <w:rsid w:val="004564FF"/>
    <w:rsid w:val="005626DC"/>
    <w:rsid w:val="005F4D2D"/>
    <w:rsid w:val="00612454"/>
    <w:rsid w:val="006235DD"/>
    <w:rsid w:val="00631478"/>
    <w:rsid w:val="00663FB1"/>
    <w:rsid w:val="00694049"/>
    <w:rsid w:val="00803210"/>
    <w:rsid w:val="009013DC"/>
    <w:rsid w:val="00A90637"/>
    <w:rsid w:val="00AA3DD9"/>
    <w:rsid w:val="00B97006"/>
    <w:rsid w:val="00C71CF3"/>
    <w:rsid w:val="00D4794B"/>
    <w:rsid w:val="00DD57BC"/>
    <w:rsid w:val="00DF438A"/>
    <w:rsid w:val="00E63F3B"/>
    <w:rsid w:val="00EA6D23"/>
    <w:rsid w:val="00F42CA4"/>
    <w:rsid w:val="00F5091A"/>
    <w:rsid w:val="00F76A21"/>
    <w:rsid w:val="00F86247"/>
    <w:rsid w:val="00FA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E52B"/>
  <w15:chartTrackingRefBased/>
  <w15:docId w15:val="{9D42A26A-C9EA-4E17-BFA9-7910BA6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4B"/>
    <w:pPr>
      <w:spacing w:after="0" w:line="264"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94B"/>
    <w:pPr>
      <w:ind w:left="720"/>
      <w:contextualSpacing/>
    </w:pPr>
  </w:style>
  <w:style w:type="paragraph" w:styleId="Header">
    <w:name w:val="header"/>
    <w:basedOn w:val="Normal"/>
    <w:link w:val="HeaderChar"/>
    <w:uiPriority w:val="99"/>
    <w:unhideWhenUsed/>
    <w:rsid w:val="00F5091A"/>
    <w:pPr>
      <w:tabs>
        <w:tab w:val="center" w:pos="4513"/>
        <w:tab w:val="right" w:pos="9026"/>
      </w:tabs>
      <w:spacing w:line="240" w:lineRule="auto"/>
    </w:pPr>
  </w:style>
  <w:style w:type="character" w:customStyle="1" w:styleId="HeaderChar">
    <w:name w:val="Header Char"/>
    <w:basedOn w:val="DefaultParagraphFont"/>
    <w:link w:val="Header"/>
    <w:uiPriority w:val="99"/>
    <w:rsid w:val="00F5091A"/>
    <w:rPr>
      <w:rFonts w:ascii="Arial" w:hAnsi="Arial"/>
    </w:rPr>
  </w:style>
  <w:style w:type="paragraph" w:styleId="Footer">
    <w:name w:val="footer"/>
    <w:basedOn w:val="Normal"/>
    <w:link w:val="FooterChar"/>
    <w:uiPriority w:val="99"/>
    <w:unhideWhenUsed/>
    <w:rsid w:val="00F5091A"/>
    <w:pPr>
      <w:tabs>
        <w:tab w:val="center" w:pos="4513"/>
        <w:tab w:val="right" w:pos="9026"/>
      </w:tabs>
      <w:spacing w:line="240" w:lineRule="auto"/>
    </w:pPr>
  </w:style>
  <w:style w:type="character" w:customStyle="1" w:styleId="FooterChar">
    <w:name w:val="Footer Char"/>
    <w:basedOn w:val="DefaultParagraphFont"/>
    <w:link w:val="Footer"/>
    <w:uiPriority w:val="99"/>
    <w:rsid w:val="00F5091A"/>
    <w:rPr>
      <w:rFonts w:ascii="Arial" w:hAnsi="Arial"/>
    </w:rPr>
  </w:style>
  <w:style w:type="paragraph" w:styleId="BalloonText">
    <w:name w:val="Balloon Text"/>
    <w:basedOn w:val="Normal"/>
    <w:link w:val="BalloonTextChar"/>
    <w:uiPriority w:val="99"/>
    <w:semiHidden/>
    <w:unhideWhenUsed/>
    <w:rsid w:val="00F509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4401">
      <w:bodyDiv w:val="1"/>
      <w:marLeft w:val="0"/>
      <w:marRight w:val="0"/>
      <w:marTop w:val="0"/>
      <w:marBottom w:val="0"/>
      <w:divBdr>
        <w:top w:val="none" w:sz="0" w:space="0" w:color="auto"/>
        <w:left w:val="none" w:sz="0" w:space="0" w:color="auto"/>
        <w:bottom w:val="none" w:sz="0" w:space="0" w:color="auto"/>
        <w:right w:val="none" w:sz="0" w:space="0" w:color="auto"/>
      </w:divBdr>
    </w:div>
    <w:div w:id="110318851">
      <w:bodyDiv w:val="1"/>
      <w:marLeft w:val="0"/>
      <w:marRight w:val="0"/>
      <w:marTop w:val="0"/>
      <w:marBottom w:val="0"/>
      <w:divBdr>
        <w:top w:val="none" w:sz="0" w:space="0" w:color="auto"/>
        <w:left w:val="none" w:sz="0" w:space="0" w:color="auto"/>
        <w:bottom w:val="none" w:sz="0" w:space="0" w:color="auto"/>
        <w:right w:val="none" w:sz="0" w:space="0" w:color="auto"/>
      </w:divBdr>
    </w:div>
    <w:div w:id="409817445">
      <w:bodyDiv w:val="1"/>
      <w:marLeft w:val="0"/>
      <w:marRight w:val="0"/>
      <w:marTop w:val="0"/>
      <w:marBottom w:val="0"/>
      <w:divBdr>
        <w:top w:val="none" w:sz="0" w:space="0" w:color="auto"/>
        <w:left w:val="none" w:sz="0" w:space="0" w:color="auto"/>
        <w:bottom w:val="none" w:sz="0" w:space="0" w:color="auto"/>
        <w:right w:val="none" w:sz="0" w:space="0" w:color="auto"/>
      </w:divBdr>
    </w:div>
    <w:div w:id="417749507">
      <w:bodyDiv w:val="1"/>
      <w:marLeft w:val="0"/>
      <w:marRight w:val="0"/>
      <w:marTop w:val="0"/>
      <w:marBottom w:val="0"/>
      <w:divBdr>
        <w:top w:val="none" w:sz="0" w:space="0" w:color="auto"/>
        <w:left w:val="none" w:sz="0" w:space="0" w:color="auto"/>
        <w:bottom w:val="none" w:sz="0" w:space="0" w:color="auto"/>
        <w:right w:val="none" w:sz="0" w:space="0" w:color="auto"/>
      </w:divBdr>
    </w:div>
    <w:div w:id="463234745">
      <w:bodyDiv w:val="1"/>
      <w:marLeft w:val="0"/>
      <w:marRight w:val="0"/>
      <w:marTop w:val="0"/>
      <w:marBottom w:val="0"/>
      <w:divBdr>
        <w:top w:val="none" w:sz="0" w:space="0" w:color="auto"/>
        <w:left w:val="none" w:sz="0" w:space="0" w:color="auto"/>
        <w:bottom w:val="none" w:sz="0" w:space="0" w:color="auto"/>
        <w:right w:val="none" w:sz="0" w:space="0" w:color="auto"/>
      </w:divBdr>
    </w:div>
    <w:div w:id="587230570">
      <w:bodyDiv w:val="1"/>
      <w:marLeft w:val="0"/>
      <w:marRight w:val="0"/>
      <w:marTop w:val="0"/>
      <w:marBottom w:val="0"/>
      <w:divBdr>
        <w:top w:val="none" w:sz="0" w:space="0" w:color="auto"/>
        <w:left w:val="none" w:sz="0" w:space="0" w:color="auto"/>
        <w:bottom w:val="none" w:sz="0" w:space="0" w:color="auto"/>
        <w:right w:val="none" w:sz="0" w:space="0" w:color="auto"/>
      </w:divBdr>
    </w:div>
    <w:div w:id="736979888">
      <w:bodyDiv w:val="1"/>
      <w:marLeft w:val="0"/>
      <w:marRight w:val="0"/>
      <w:marTop w:val="0"/>
      <w:marBottom w:val="0"/>
      <w:divBdr>
        <w:top w:val="none" w:sz="0" w:space="0" w:color="auto"/>
        <w:left w:val="none" w:sz="0" w:space="0" w:color="auto"/>
        <w:bottom w:val="none" w:sz="0" w:space="0" w:color="auto"/>
        <w:right w:val="none" w:sz="0" w:space="0" w:color="auto"/>
      </w:divBdr>
    </w:div>
    <w:div w:id="939148267">
      <w:bodyDiv w:val="1"/>
      <w:marLeft w:val="0"/>
      <w:marRight w:val="0"/>
      <w:marTop w:val="0"/>
      <w:marBottom w:val="0"/>
      <w:divBdr>
        <w:top w:val="none" w:sz="0" w:space="0" w:color="auto"/>
        <w:left w:val="none" w:sz="0" w:space="0" w:color="auto"/>
        <w:bottom w:val="none" w:sz="0" w:space="0" w:color="auto"/>
        <w:right w:val="none" w:sz="0" w:space="0" w:color="auto"/>
      </w:divBdr>
    </w:div>
    <w:div w:id="1126117474">
      <w:bodyDiv w:val="1"/>
      <w:marLeft w:val="0"/>
      <w:marRight w:val="0"/>
      <w:marTop w:val="0"/>
      <w:marBottom w:val="0"/>
      <w:divBdr>
        <w:top w:val="none" w:sz="0" w:space="0" w:color="auto"/>
        <w:left w:val="none" w:sz="0" w:space="0" w:color="auto"/>
        <w:bottom w:val="none" w:sz="0" w:space="0" w:color="auto"/>
        <w:right w:val="none" w:sz="0" w:space="0" w:color="auto"/>
      </w:divBdr>
    </w:div>
    <w:div w:id="1178277430">
      <w:bodyDiv w:val="1"/>
      <w:marLeft w:val="0"/>
      <w:marRight w:val="0"/>
      <w:marTop w:val="0"/>
      <w:marBottom w:val="0"/>
      <w:divBdr>
        <w:top w:val="none" w:sz="0" w:space="0" w:color="auto"/>
        <w:left w:val="none" w:sz="0" w:space="0" w:color="auto"/>
        <w:bottom w:val="none" w:sz="0" w:space="0" w:color="auto"/>
        <w:right w:val="none" w:sz="0" w:space="0" w:color="auto"/>
      </w:divBdr>
    </w:div>
    <w:div w:id="1196624968">
      <w:bodyDiv w:val="1"/>
      <w:marLeft w:val="0"/>
      <w:marRight w:val="0"/>
      <w:marTop w:val="0"/>
      <w:marBottom w:val="0"/>
      <w:divBdr>
        <w:top w:val="none" w:sz="0" w:space="0" w:color="auto"/>
        <w:left w:val="none" w:sz="0" w:space="0" w:color="auto"/>
        <w:bottom w:val="none" w:sz="0" w:space="0" w:color="auto"/>
        <w:right w:val="none" w:sz="0" w:space="0" w:color="auto"/>
      </w:divBdr>
    </w:div>
    <w:div w:id="1198277549">
      <w:bodyDiv w:val="1"/>
      <w:marLeft w:val="0"/>
      <w:marRight w:val="0"/>
      <w:marTop w:val="0"/>
      <w:marBottom w:val="0"/>
      <w:divBdr>
        <w:top w:val="none" w:sz="0" w:space="0" w:color="auto"/>
        <w:left w:val="none" w:sz="0" w:space="0" w:color="auto"/>
        <w:bottom w:val="none" w:sz="0" w:space="0" w:color="auto"/>
        <w:right w:val="none" w:sz="0" w:space="0" w:color="auto"/>
      </w:divBdr>
    </w:div>
    <w:div w:id="1311208316">
      <w:bodyDiv w:val="1"/>
      <w:marLeft w:val="0"/>
      <w:marRight w:val="0"/>
      <w:marTop w:val="0"/>
      <w:marBottom w:val="0"/>
      <w:divBdr>
        <w:top w:val="none" w:sz="0" w:space="0" w:color="auto"/>
        <w:left w:val="none" w:sz="0" w:space="0" w:color="auto"/>
        <w:bottom w:val="none" w:sz="0" w:space="0" w:color="auto"/>
        <w:right w:val="none" w:sz="0" w:space="0" w:color="auto"/>
      </w:divBdr>
    </w:div>
    <w:div w:id="1339236995">
      <w:bodyDiv w:val="1"/>
      <w:marLeft w:val="0"/>
      <w:marRight w:val="0"/>
      <w:marTop w:val="0"/>
      <w:marBottom w:val="0"/>
      <w:divBdr>
        <w:top w:val="none" w:sz="0" w:space="0" w:color="auto"/>
        <w:left w:val="none" w:sz="0" w:space="0" w:color="auto"/>
        <w:bottom w:val="none" w:sz="0" w:space="0" w:color="auto"/>
        <w:right w:val="none" w:sz="0" w:space="0" w:color="auto"/>
      </w:divBdr>
    </w:div>
    <w:div w:id="1504272703">
      <w:bodyDiv w:val="1"/>
      <w:marLeft w:val="0"/>
      <w:marRight w:val="0"/>
      <w:marTop w:val="0"/>
      <w:marBottom w:val="0"/>
      <w:divBdr>
        <w:top w:val="none" w:sz="0" w:space="0" w:color="auto"/>
        <w:left w:val="none" w:sz="0" w:space="0" w:color="auto"/>
        <w:bottom w:val="none" w:sz="0" w:space="0" w:color="auto"/>
        <w:right w:val="none" w:sz="0" w:space="0" w:color="auto"/>
      </w:divBdr>
    </w:div>
    <w:div w:id="1613904839">
      <w:bodyDiv w:val="1"/>
      <w:marLeft w:val="0"/>
      <w:marRight w:val="0"/>
      <w:marTop w:val="0"/>
      <w:marBottom w:val="0"/>
      <w:divBdr>
        <w:top w:val="none" w:sz="0" w:space="0" w:color="auto"/>
        <w:left w:val="none" w:sz="0" w:space="0" w:color="auto"/>
        <w:bottom w:val="none" w:sz="0" w:space="0" w:color="auto"/>
        <w:right w:val="none" w:sz="0" w:space="0" w:color="auto"/>
      </w:divBdr>
    </w:div>
    <w:div w:id="1757940300">
      <w:bodyDiv w:val="1"/>
      <w:marLeft w:val="0"/>
      <w:marRight w:val="0"/>
      <w:marTop w:val="0"/>
      <w:marBottom w:val="0"/>
      <w:divBdr>
        <w:top w:val="none" w:sz="0" w:space="0" w:color="auto"/>
        <w:left w:val="none" w:sz="0" w:space="0" w:color="auto"/>
        <w:bottom w:val="none" w:sz="0" w:space="0" w:color="auto"/>
        <w:right w:val="none" w:sz="0" w:space="0" w:color="auto"/>
      </w:divBdr>
    </w:div>
    <w:div w:id="1777021538">
      <w:bodyDiv w:val="1"/>
      <w:marLeft w:val="0"/>
      <w:marRight w:val="0"/>
      <w:marTop w:val="0"/>
      <w:marBottom w:val="0"/>
      <w:divBdr>
        <w:top w:val="none" w:sz="0" w:space="0" w:color="auto"/>
        <w:left w:val="none" w:sz="0" w:space="0" w:color="auto"/>
        <w:bottom w:val="none" w:sz="0" w:space="0" w:color="auto"/>
        <w:right w:val="none" w:sz="0" w:space="0" w:color="auto"/>
      </w:divBdr>
    </w:div>
    <w:div w:id="18388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James</dc:creator>
  <cp:keywords/>
  <dc:description/>
  <cp:lastModifiedBy>James McNulty</cp:lastModifiedBy>
  <cp:revision>22</cp:revision>
  <dcterms:created xsi:type="dcterms:W3CDTF">2021-01-27T16:18:00Z</dcterms:created>
  <dcterms:modified xsi:type="dcterms:W3CDTF">2022-02-13T17:20:00Z</dcterms:modified>
</cp:coreProperties>
</file>